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jc w:val="left"/>
      </w:pPr>
      <w:r>
        <w:rPr>
          <w:rFonts w:ascii="Arial" w:hAnsi="Arial"/>
          <w:b/>
          <w:color w:val="2F75B5"/>
          <w:sz w:val="18"/>
        </w:rPr>
        <w:t>MERCHANT SERVICE</w:t>
      </w:r>
    </w:p>
    <w:p>
      <w:pPr>
        <w:spacing w:after="60"/>
      </w:pPr>
      <w:r>
        <w:rPr>
          <w:rFonts w:ascii="Arial" w:hAnsi="Arial"/>
          <w:b/>
          <w:color w:val="17365D"/>
          <w:sz w:val="50"/>
        </w:rPr>
        <w:t>Merchant Product</w:t>
        <w:br/>
        <w:t>Taxonomy API Handoff</w:t>
      </w:r>
    </w:p>
    <w:p>
      <w:pPr>
        <w:spacing w:after="260"/>
      </w:pPr>
      <w:r>
        <w:rPr>
          <w:rFonts w:ascii="Arial" w:hAnsi="Arial"/>
          <w:color w:val="5B6573"/>
          <w:sz w:val="22"/>
        </w:rPr>
        <w:t>Frontend integration guide  •  Hierarchical categories and product payloads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What this document covers</w:t>
            </w:r>
          </w:p>
          <w:p>
            <w:pPr>
              <w:spacing w:after="0"/>
            </w:pPr>
            <w:r>
              <w:t>The exact URLs, request shapes, response fields, category-selection rules, authentication headers, and local verification notes needed to integrate the Merchant web frontend with the centralized product taxonomy.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Environment / item</w:t>
            </w:r>
          </w:p>
        </w:tc>
        <w:tc>
          <w:tcPr>
            <w:tcW w:type="dxa" w:w="8136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Local API base</w:t>
            </w:r>
          </w:p>
        </w:tc>
        <w:tc>
          <w:tcPr>
            <w:tcW w:type="dxa" w:w="813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http://localhost:3000/api/v1/merchant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Swagger UI</w:t>
            </w:r>
          </w:p>
        </w:tc>
        <w:tc>
          <w:tcPr>
            <w:tcW w:type="dxa" w:w="813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http://localhost:3000/api-docs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OpenAPI JSON</w:t>
            </w:r>
          </w:p>
        </w:tc>
        <w:tc>
          <w:tcPr>
            <w:tcW w:type="dxa" w:w="813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http://localhost:3000/api-docs.json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Backend branch</w:t>
            </w:r>
          </w:p>
        </w:tc>
        <w:tc>
          <w:tcPr>
            <w:tcW w:type="dxa" w:w="813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feat-subscription-module-for-merchant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Verified commit</w:t>
            </w:r>
          </w:p>
        </w:tc>
        <w:tc>
          <w:tcPr>
            <w:tcW w:type="dxa" w:w="813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7268494 — feat: centralize hierarchical product taxonomy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Deployment note</w:t>
            </w:r>
          </w:p>
        </w:tc>
        <w:tc>
          <w:tcPr>
            <w:tcW w:type="dxa" w:w="813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7"/>
              </w:rPr>
              <w:t>Use the deployed Merchant API base in frontend environment variables when staging/production is available.</w:t>
            </w:r>
          </w:p>
        </w:tc>
      </w:tr>
    </w:tbl>
    <w:p>
      <w:pPr>
        <w:spacing w:after="20"/>
      </w:pPr>
    </w:p>
    <w:p>
      <w:pPr>
        <w:pStyle w:val="Heading1"/>
      </w:pPr>
      <w:r>
        <w:t>1. Quick start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1.  Set the frontend API base URL to the deployed Merchant API. For local testing, use http://localhost:3000/api/v1/merchant.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2.  Log in through POST /auth/login and keep the returned data.token.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3.  Send Authorization: Bearer &lt;token&gt; on protected requests.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4.  Load GET /categories to render the five top-level choices.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5.  Drill into a parent or search by text; save the selected detailed category id in the product payload as categoryId.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Important</w:t>
            </w:r>
          </w:p>
          <w:p>
            <w:pPr>
              <w:spacing w:after="0"/>
            </w:pPr>
            <w:r>
              <w:t>Category names are not unique globally. “Shampoo” exists in more than one branch. Always save the stable categoryId returned by the API, never a category name.</w:t>
            </w:r>
          </w:p>
        </w:tc>
      </w:tr>
    </w:tbl>
    <w:p>
      <w:pPr>
        <w:spacing w:after="20"/>
      </w:pPr>
    </w:p>
    <w:p>
      <w:pPr>
        <w:pStyle w:val="Heading1"/>
      </w:pPr>
      <w:r>
        <w:t>2. Authentication</w:t>
      </w:r>
    </w:p>
    <w:p>
      <w:r>
        <w:t>The category and product routes are protected. The frontend should authenticate first, then attach the access token to every protected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92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6696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POST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/auth/login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Merchant login; returns the access token in data.token.</w:t>
            </w:r>
          </w:p>
        </w:tc>
      </w:tr>
      <w:tr>
        <w:trPr>
          <w:cantSplit/>
        </w:trPr>
        <w:tc>
          <w:tcPr>
            <w:tcW w:type="dxa" w:w="93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POST</w:t>
            </w:r>
          </w:p>
        </w:tc>
        <w:tc>
          <w:tcPr>
            <w:tcW w:type="dxa" w:w="259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/auth/refresh</w:t>
            </w:r>
          </w:p>
        </w:tc>
        <w:tc>
          <w:tcPr>
            <w:tcW w:type="dxa" w:w="669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Use the refresh-token flow when the access token expires, if enabled by the current auth client.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Request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POST http://localhost:3000/api/v1/merchant/auth/login</w:t>
        <w:br/>
        <w:t>Content-Type: application/json</w:t>
        <w:br/>
        <w:br/>
        <w:t>{</w:t>
        <w:br/>
        <w:t xml:space="preserve">  "email": "merchant@example.com",</w:t>
        <w:br/>
        <w:t xml:space="preserve">  "password": "your-password"</w:t>
        <w:br/>
        <w:t>}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Relevant response shape</w:t>
      </w:r>
    </w:p>
    <w:p>
      <w:pPr>
        <w:spacing w:before="20" w:after="100" w:line="240" w:lineRule="auto"/>
        <w:ind w:left="115" w:right="115"/>
        <w:shd w:fill="F3F5F7"/>
      </w:pPr>
      <w:r>
        <w:rPr>
          <w:rFonts w:ascii="Consolas" w:hAnsi="Consolas" w:eastAsia="Consolas"/>
          <w:color w:val="263238"/>
          <w:sz w:val="16"/>
        </w:rPr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"&lt;access-token&gt;",</w:t>
        <w:br/>
        <w:t xml:space="preserve">    "refreshToken": "&lt;refresh-token&gt;",</w:t>
        <w:br/>
        <w:t xml:space="preserve">    "merchant": { "id": "&lt;merchant-uuid&gt;", "email": "merchant@example.com" },</w:t>
        <w:br/>
        <w:t xml:space="preserve">    "onboarding": { "isComplete": true }</w:t>
        <w:br/>
        <w:t xml:space="preserve">  }</w:t>
        <w:br/>
        <w:t>}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Protected request headers</w:t>
      </w:r>
    </w:p>
    <w:p>
      <w:pPr>
        <w:spacing w:before="20" w:after="100" w:line="240" w:lineRule="auto"/>
        <w:ind w:left="115" w:right="115"/>
        <w:shd w:fill="F3F5F7"/>
      </w:pPr>
      <w:r>
        <w:rPr>
          <w:rFonts w:ascii="Consolas" w:hAnsi="Consolas" w:eastAsia="Consolas"/>
          <w:color w:val="263238"/>
          <w:sz w:val="16"/>
        </w:rPr>
        <w:t>Authorization: Bearer &lt;access-token&gt;</w:t>
        <w:br/>
        <w:t>Content-Type: application/json</w:t>
      </w:r>
    </w:p>
    <w:p>
      <w:pPr>
        <w:pStyle w:val="Heading1"/>
      </w:pPr>
      <w:r>
        <w:t>3. Category selector flow</w:t>
      </w:r>
    </w:p>
    <w:p>
      <w:r>
        <w:t>The taxonomy is one platform-wide tree stored in the Merchant database. It supports different depths: Drugs / Medications has a direct detailed-category level, while other branches can have an additional subcategory level.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1.  Open the selector: GET /categories. Render only the five returned top-level categories.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2.  When a parent is clicked, request GET /categories?parentId=&lt;parent-id&gt; and render its children.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3.  For a selector that needs the entire tree, request GET /categories?includeChildren=true.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4.  For search, request GET /categories/search?q=&lt;text&gt;. Results include their full breadcrumb path.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5.  Only allow a product to be saved with a category where isSelectable is true. Parent/group headings are navigation only.</w:t>
      </w:r>
    </w:p>
    <w:p>
      <w:pPr>
        <w:spacing w:after="40"/>
        <w:ind w:left="320" w:hanging="240"/>
      </w:pPr>
      <w:r>
        <w:rPr>
          <w:rFonts w:ascii="Arial" w:hAnsi="Arial"/>
          <w:sz w:val="19"/>
        </w:rPr>
        <w:t>6.  Store the selected node id as categoryId in the product create/update payload.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Frontend action</w:t>
            </w:r>
          </w:p>
        </w:tc>
        <w:tc>
          <w:tcPr>
            <w:tcW w:type="dxa" w:w="352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Request</w:t>
            </w:r>
          </w:p>
        </w:tc>
        <w:tc>
          <w:tcPr>
            <w:tcW w:type="dxa" w:w="4896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Expected use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Open selector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GET /categories</w:t>
            </w:r>
          </w:p>
        </w:tc>
        <w:tc>
          <w:tcPr>
            <w:tcW w:type="dxa" w:w="489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Returns only top-level categories.</w:t>
            </w:r>
          </w:p>
        </w:tc>
      </w:tr>
      <w:tr>
        <w:trPr>
          <w:cantSplit/>
        </w:trPr>
        <w:tc>
          <w:tcPr>
            <w:tcW w:type="dxa" w:w="1800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Open a parent</w:t>
            </w:r>
          </w:p>
        </w:tc>
        <w:tc>
          <w:tcPr>
            <w:tcW w:type="dxa" w:w="35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GET /categories?parentId=&lt;uuid&gt;</w:t>
            </w:r>
          </w:p>
        </w:tc>
        <w:tc>
          <w:tcPr>
            <w:tcW w:type="dxa" w:w="489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Returns direct children of that parent.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Load complete tree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GET /categories?includeChildren=true</w:t>
            </w:r>
          </w:p>
        </w:tc>
        <w:tc>
          <w:tcPr>
            <w:tcW w:type="dxa" w:w="489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Returns nested children when the UI needs one response.</w:t>
            </w:r>
          </w:p>
        </w:tc>
      </w:tr>
      <w:tr>
        <w:trPr>
          <w:cantSplit/>
        </w:trPr>
        <w:tc>
          <w:tcPr>
            <w:tcW w:type="dxa" w:w="1800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Search</w:t>
            </w:r>
          </w:p>
        </w:tc>
        <w:tc>
          <w:tcPr>
            <w:tcW w:type="dxa" w:w="35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GET /categories/search?q=Shampoo</w:t>
            </w:r>
          </w:p>
        </w:tc>
        <w:tc>
          <w:tcPr>
            <w:tcW w:type="dxa" w:w="489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Returns every match with full path/breadcrumbs.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Inspect one node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GET /categories/&lt;uuid&gt;</w:t>
            </w:r>
          </w:p>
        </w:tc>
        <w:tc>
          <w:tcPr>
            <w:tcW w:type="dxa" w:w="489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Returns a category and its descendants/breadcrumb data.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Top-level category response</w:t>
      </w:r>
    </w:p>
    <w:p>
      <w:pPr>
        <w:spacing w:before="20" w:after="100" w:line="240" w:lineRule="auto"/>
        <w:ind w:left="115" w:right="115"/>
        <w:shd w:fill="F3F5F7"/>
      </w:pPr>
      <w:r>
        <w:rPr>
          <w:rFonts w:ascii="Consolas" w:hAnsi="Consolas" w:eastAsia="Consolas"/>
          <w:color w:val="263238"/>
          <w:sz w:val="16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"&lt;category-uuid&gt;",</w:t>
        <w:br/>
        <w:t xml:space="preserve">      "categoryKey": "drugs-medications",</w:t>
        <w:br/>
        <w:t xml:space="preserve">      "name": "Drugs / Medications",</w:t>
        <w:br/>
        <w:t xml:space="preserve">      "parentId": null,</w:t>
        <w:br/>
        <w:t xml:space="preserve">      "sortOrder": 1,</w:t>
        <w:br/>
        <w:t xml:space="preserve">      "isActive": true,</w:t>
        <w:br/>
        <w:t xml:space="preserve">      "isSelectable": false,</w:t>
        <w:br/>
        <w:t xml:space="preserve">      "childCount": 39,</w:t>
        <w:br/>
        <w:t xml:space="preserve">      "breadcrumb": ["Drugs / Medications"]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4. Search and duplicate names</w:t>
      </w:r>
    </w:p>
    <w:p>
      <w:r>
        <w:t>Search is descendant-aware. Searching for a parent or broad group can return categories beneath it. Searching for “Shampoo” returns both distinct nodes, because the same label can exist under different parents.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Request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GET /api/v1/merchant/categories/search?q=Shampoo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Search response example</w:t>
      </w:r>
    </w:p>
    <w:p>
      <w:pPr>
        <w:spacing w:before="20" w:after="100" w:line="240" w:lineRule="auto"/>
        <w:ind w:left="115" w:right="115"/>
        <w:shd w:fill="F3F5F7"/>
      </w:pPr>
      <w:r>
        <w:rPr>
          <w:rFonts w:ascii="Consolas" w:hAnsi="Consolas" w:eastAsia="Consolas"/>
          <w:color w:val="263238"/>
          <w:sz w:val="16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"&lt;cosmetics-shampoo-uuid&gt;",</w:t>
        <w:br/>
        <w:t xml:space="preserve">      "name": "Shampoo",</w:t>
        <w:br/>
        <w:t xml:space="preserve">      "isSelectable": true,</w:t>
        <w:br/>
        <w:t xml:space="preserve">      "breadcrumb": [</w:t>
        <w:br/>
        <w:t xml:space="preserve">        "Cosmetics &amp; Beauty Products",</w:t>
        <w:br/>
        <w:t xml:space="preserve">        "Hair Care &amp; Styling",</w:t>
        <w:br/>
        <w:t xml:space="preserve">        "Shampoo"</w:t>
        <w:br/>
        <w:t xml:space="preserve">      ],</w:t>
        <w:br/>
        <w:t xml:space="preserve">      "path": "Cosmetics &amp; Beauty Products → Hair Care &amp; Styling → Shampoo"</w:t>
        <w:br/>
        <w:t xml:space="preserve">    },</w:t>
        <w:br/>
        <w:t xml:space="preserve">    {</w:t>
        <w:br/>
        <w:t xml:space="preserve">      "id": "&lt;personal-care-shampoo-uuid&gt;",</w:t>
        <w:br/>
        <w:t xml:space="preserve">      "name": "Shampoo",</w:t>
        <w:br/>
        <w:t xml:space="preserve">      "isSelectable": true,</w:t>
        <w:br/>
        <w:t xml:space="preserve">      "breadcrumb": [</w:t>
        <w:br/>
        <w:t xml:space="preserve">        "Personal Care Products",</w:t>
        <w:br/>
        <w:t xml:space="preserve">        "Hair &amp; Scalp Care",</w:t>
        <w:br/>
        <w:t xml:space="preserve">        "Shampoo"</w:t>
        <w:br/>
        <w:t xml:space="preserve">      ],</w:t>
        <w:br/>
        <w:t xml:space="preserve">      "path": "Personal Care Products → Hair &amp; Scalp Care → Shampoo"</w:t>
        <w:br/>
        <w:t xml:space="preserve">    }</w:t>
        <w:br/>
        <w:t xml:space="preserve">  ]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Selector UX recommendation</w:t>
            </w:r>
          </w:p>
          <w:p>
            <w:pPr>
              <w:spacing w:after="0"/>
            </w:pPr>
            <w:r>
              <w:t>Display the full path beside search results. Do not collapse duplicate labels into one option; the path tells the merchant exactly which category will be saved.</w:t>
            </w:r>
          </w:p>
        </w:tc>
      </w:tr>
    </w:tbl>
    <w:p>
      <w:pPr>
        <w:spacing w:after="20"/>
      </w:pPr>
    </w:p>
    <w:p>
      <w:pPr>
        <w:pStyle w:val="Heading1"/>
      </w:pPr>
      <w:r>
        <w:t>5. Create a product</w:t>
      </w:r>
    </w:p>
    <w:p>
      <w:r>
        <w:t>Use the selected detailed category id. The API rejects a broad category group when the product needs a detailed selectable category.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Request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POST /api/v1/merchant/products</w:t>
        <w:br/>
        <w:t>Authorization: Bearer &lt;access-token&gt;</w:t>
        <w:br/>
        <w:t>Content-Type: application/json</w:t>
        <w:br/>
        <w:br/>
        <w:t>{</w:t>
        <w:br/>
        <w:t xml:space="preserve">  "name": "Paracetamol 500mg",</w:t>
        <w:br/>
        <w:t xml:space="preserve">  "description": "Paracetamol tablets",</w:t>
        <w:br/>
        <w:t xml:space="preserve">  "categoryId": "&lt;selectable-leaf-uuid&gt;",</w:t>
        <w:br/>
        <w:t xml:space="preserve">  "brand": "GSK",</w:t>
        <w:br/>
        <w:t xml:space="preserve">  "sku": "PAR-500",</w:t>
        <w:br/>
        <w:t xml:space="preserve">  "price": 500,</w:t>
        <w:br/>
        <w:t xml:space="preserve">  "vat": 0,</w:t>
        <w:br/>
        <w:t xml:space="preserve">  "discountPercentage": 0,</w:t>
        <w:br/>
        <w:t xml:space="preserve">  "minQuantity": 1,</w:t>
        <w:br/>
        <w:t xml:space="preserve">  "maxQuantity": 100,</w:t>
        <w:br/>
        <w:t xml:space="preserve">  "inventory": 50,</w:t>
        <w:br/>
        <w:t xml:space="preserve">  "images": [</w:t>
        <w:br/>
        <w:t xml:space="preserve">    {</w:t>
        <w:br/>
        <w:t xml:space="preserve">      "url": "https://example.com/product.png",</w:t>
        <w:br/>
        <w:t xml:space="preserve">      "order": 1,</w:t>
        <w:br/>
        <w:t xml:space="preserve">      "isMain": true</w:t>
        <w:br/>
        <w:t xml:space="preserve">    }</w:t>
        <w:br/>
        <w:t xml:space="preserve">  ],</w:t>
        <w:br/>
        <w:t xml:space="preserve">  "isActive": true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40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Frontend guidance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name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string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Required product name.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categoryId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UUID string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Required taxonomy node id; must be active and selectable.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brand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string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Brand shown on the product.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price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number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Selling price.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vat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number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VAT amount/rate expected by the current product schema.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inventory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number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Initial stock quantity.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images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array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Image objects with url, order, and isMain.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sku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string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SKU if the merchant uses one.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description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string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product description.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discountPercentage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number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product discount percentage.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minQuantity / maxQuantity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number</w:t>
            </w:r>
          </w:p>
        </w:tc>
        <w:tc>
          <w:tcPr>
            <w:tcW w:type="dxa" w:w="640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purchase quantity limits.</w:t>
            </w:r>
          </w:p>
        </w:tc>
      </w:tr>
      <w:tr>
        <w:trPr>
          <w:cantSplit/>
        </w:trPr>
        <w:tc>
          <w:tcPr>
            <w:tcW w:type="dxa" w:w="208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category</w:t>
            </w:r>
          </w:p>
        </w:tc>
        <w:tc>
          <w:tcPr>
            <w:tcW w:type="dxa" w:w="17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string</w:t>
            </w:r>
          </w:p>
        </w:tc>
        <w:tc>
          <w:tcPr>
            <w:tcW w:type="dxa" w:w="640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Legacy field retained temporarily for compatibility; do not use as the taxonomy identity.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Validation behavior</w:t>
            </w:r>
          </w:p>
          <w:p>
            <w:pPr>
              <w:spacing w:after="0"/>
            </w:pPr>
            <w:r>
              <w:t>If the frontend sends a parent/group id, the API returns a validation error such as “Select a detailed category, not a category group.” Let the user choose a selectable child instead.</w:t>
            </w:r>
          </w:p>
        </w:tc>
      </w:tr>
    </w:tbl>
    <w:p>
      <w:pPr>
        <w:spacing w:after="20"/>
      </w:pPr>
    </w:p>
    <w:p>
      <w:pPr>
        <w:pStyle w:val="Heading1"/>
      </w:pPr>
      <w:r>
        <w:t>6. Update and filter products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Change a product category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PATCH /api/v1/merchant/products/&lt;product-uuid&gt;</w:t>
        <w:br/>
        <w:t>Authorization: Bearer &lt;access-token&gt;</w:t>
        <w:br/>
        <w:t>Content-Type: application/json</w:t>
        <w:br/>
        <w:br/>
        <w:t>{</w:t>
        <w:br/>
        <w:t xml:space="preserve">  "categoryId": "&lt;new-selectable-leaf-uuid&gt;"</w:t>
        <w:br/>
        <w:t>}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Filter products by category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GET /api/v1/merchant/products?page=1&amp;limit=20&amp;categoryId=&lt;category-uuid&gt;</w:t>
        <w:br/>
        <w:t>Authorization: Bearer &lt;access-token&gt;</w:t>
      </w:r>
    </w:p>
    <w:p>
      <w:r>
        <w:t>The backend keeps category snapshots in historical order and offline-sale records so past transactions continue to display the category as it was at the time of the transaction. Product catalog records use categoryId as the forward-looking taxonomy identity.</w:t>
      </w:r>
    </w:p>
    <w:p>
      <w:pPr>
        <w:pStyle w:val="Heading1"/>
      </w:pPr>
      <w:r>
        <w:t>7. Other category consumers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992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What frontend should send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Discounts</w:t>
            </w:r>
          </w:p>
        </w:tc>
        <w:tc>
          <w:tcPr>
            <w:tcW w:type="dxa" w:w="799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Use category ids in applicableCategoryIds when a discount targets categories.</w:t>
            </w:r>
          </w:p>
        </w:tc>
      </w:tr>
      <w:tr>
        <w:trPr>
          <w:cantSplit/>
        </w:trPr>
        <w:tc>
          <w:tcPr>
            <w:tcW w:type="dxa" w:w="223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Catalog filters</w:t>
            </w:r>
          </w:p>
        </w:tc>
        <w:tc>
          <w:tcPr>
            <w:tcW w:type="dxa" w:w="799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Use categoryId query filtering; display the category name/path from the taxonomy response.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Orders / offline sales</w:t>
            </w:r>
          </w:p>
        </w:tc>
        <w:tc>
          <w:tcPr>
            <w:tcW w:type="dxa" w:w="799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Do not reconstruct historical categories from the current taxonomy; use the snapshot returned by the order record.</w:t>
            </w:r>
          </w:p>
        </w:tc>
      </w:tr>
      <w:tr>
        <w:trPr>
          <w:cantSplit/>
        </w:trPr>
        <w:tc>
          <w:tcPr>
            <w:tcW w:type="dxa" w:w="223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Experience service</w:t>
            </w:r>
          </w:p>
        </w:tc>
        <w:tc>
          <w:tcPr>
            <w:tcW w:type="dxa" w:w="799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Its backend can read the same Merchant taxonomy through the internal route; the browser should not call the internal route.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Discount category targeting example</w:t>
      </w:r>
    </w:p>
    <w:p>
      <w:pPr>
        <w:spacing w:before="20" w:after="100" w:line="240" w:lineRule="auto"/>
        <w:ind w:left="115" w:right="115"/>
        <w:shd w:fill="F3F5F7"/>
      </w:pPr>
      <w:r>
        <w:rPr>
          <w:rFonts w:ascii="Consolas" w:hAnsi="Consolas" w:eastAsia="Consolas"/>
          <w:color w:val="263238"/>
          <w:sz w:val="16"/>
        </w:rPr>
        <w:t>{</w:t>
        <w:br/>
        <w:t xml:space="preserve">  "applicableCategoryIds": [</w:t>
        <w:br/>
        <w:t xml:space="preserve">    "&lt;category-uuid-1&gt;",</w:t>
        <w:br/>
        <w:t xml:space="preserve">    "&lt;category-uuid-2&gt;"</w:t>
        <w:br/>
        <w:t xml:space="preserve">  ]</w:t>
        <w:br/>
        <w:t>}</w:t>
      </w:r>
    </w:p>
    <w:p>
      <w:pPr>
        <w:pStyle w:val="Heading1"/>
      </w:pPr>
      <w:r>
        <w:t>8. Experience service integration</w:t>
      </w:r>
    </w:p>
    <w:p>
      <w:r>
        <w:t>The platform has a shared taxonomy. The Merchant web frontend uses the public Merchant category routes above. The experience_1 backend can consume the internal taxonomy route so it does not maintain a separate local drugstore category seed.</w:t>
      </w:r>
    </w:p>
    <w:p>
      <w:pPr>
        <w:keepNext/>
        <w:spacing w:before="60" w:after="40"/>
      </w:pPr>
      <w:r>
        <w:rPr>
          <w:rFonts w:ascii="Arial" w:hAnsi="Arial"/>
          <w:b/>
          <w:color w:val="5B6573"/>
          <w:sz w:val="17"/>
        </w:rPr>
        <w:t>Backend-to-backend request</w:t>
      </w:r>
    </w:p>
    <w:p>
      <w:pPr>
        <w:spacing w:before="20" w:after="100" w:line="240" w:lineRule="auto"/>
        <w:ind w:left="115" w:right="115"/>
        <w:keepLines/>
        <w:shd w:fill="F3F5F7"/>
      </w:pPr>
      <w:r>
        <w:rPr>
          <w:rFonts w:ascii="Consolas" w:hAnsi="Consolas" w:eastAsia="Consolas"/>
          <w:color w:val="263238"/>
          <w:sz w:val="16"/>
        </w:rPr>
        <w:t>GET /api/v1/merchant/internal/drugstore/categories</w:t>
        <w:br/>
        <w:t>x-internal-signature: &lt;server-generated-signature&gt;</w:t>
        <w:br/>
        <w:t>x-internal-key-id: &lt;server-key-id&gt;</w:t>
        <w:br/>
        <w:t>x-internal-timestamp: &lt;unix-timestamp&gt;</w:t>
        <w:br/>
        <w:t>x-internal-nonce: &lt;unique-nonce&gt;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Do not expose internal headers in the browser</w:t>
            </w:r>
          </w:p>
          <w:p>
            <w:pPr>
              <w:spacing w:after="0"/>
            </w:pPr>
            <w:r>
              <w:t>Only the experience_1 server should create the internal signature and headers. Frontend code should call the public Merchant routes with the merchant access token.</w:t>
            </w:r>
          </w:p>
        </w:tc>
      </w:tr>
    </w:tbl>
    <w:p>
      <w:pPr>
        <w:spacing w:after="20"/>
      </w:pPr>
    </w:p>
    <w:p>
      <w:pPr>
        <w:pStyle w:val="Heading1"/>
      </w:pPr>
      <w:r>
        <w:t>9. Frontend rules to implement</w:t>
      </w:r>
    </w:p>
    <w:p>
      <w:pPr>
        <w:pStyle w:val="ListBullet"/>
        <w:spacing w:after="40"/>
        <w:ind w:left="317" w:hanging="202"/>
      </w:pPr>
      <w:r>
        <w:t>Render top-level categories first; do not load every child into the initial selector unless the screen specifically needs it.</w:t>
      </w:r>
    </w:p>
    <w:p>
      <w:pPr>
        <w:pStyle w:val="ListBullet"/>
        <w:spacing w:after="40"/>
        <w:ind w:left="317" w:hanging="202"/>
      </w:pPr>
      <w:r>
        <w:t>Use categoryId as the selected value. Keep the full breadcrumb/path only for display and confirmation.</w:t>
      </w:r>
    </w:p>
    <w:p>
      <w:pPr>
        <w:pStyle w:val="ListBullet"/>
        <w:spacing w:after="40"/>
        <w:ind w:left="317" w:hanging="202"/>
      </w:pPr>
      <w:r>
        <w:t>Allow selection only when isActive is true and isSelectable is true.</w:t>
      </w:r>
    </w:p>
    <w:p>
      <w:pPr>
        <w:pStyle w:val="ListBullet"/>
        <w:spacing w:after="40"/>
        <w:ind w:left="317" w:hanging="202"/>
      </w:pPr>
      <w:r>
        <w:t>Show the full path for search results so duplicate names remain distinguishable.</w:t>
      </w:r>
    </w:p>
    <w:p>
      <w:pPr>
        <w:pStyle w:val="ListBullet"/>
        <w:spacing w:after="40"/>
        <w:ind w:left="317" w:hanging="202"/>
      </w:pPr>
      <w:r>
        <w:t>Do not build category create, rename, or delete screens. Taxonomy changes are controlled by the backend JSON seed and deployment.</w:t>
      </w:r>
    </w:p>
    <w:p>
      <w:pPr>
        <w:pStyle w:val="ListBullet"/>
        <w:spacing w:after="40"/>
        <w:ind w:left="317" w:hanging="202"/>
      </w:pPr>
      <w:r>
        <w:t>Treat category ids as stable. Do not derive ids from labels or array positions.</w:t>
      </w:r>
    </w:p>
    <w:p>
      <w:pPr>
        <w:pStyle w:val="ListBullet"/>
        <w:spacing w:after="40"/>
        <w:ind w:left="317" w:hanging="202"/>
      </w:pPr>
      <w:r>
        <w:t>Keep the old category string only for backward compatibility while existing products migrate.</w:t>
      </w:r>
    </w:p>
    <w:p>
      <w:pPr>
        <w:pStyle w:val="Heading1"/>
      </w:pPr>
      <w:r>
        <w:t>10. Common responses and 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744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32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Frontend action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200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Request succeeded.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Read the response data.</w:t>
            </w:r>
          </w:p>
        </w:tc>
      </w:tr>
      <w:tr>
        <w:trPr>
          <w:cantSplit/>
        </w:trPr>
        <w:tc>
          <w:tcPr>
            <w:tcW w:type="dxa" w:w="115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201</w:t>
            </w:r>
          </w:p>
        </w:tc>
        <w:tc>
          <w:tcPr>
            <w:tcW w:type="dxa" w:w="3744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Resource created.</w:t>
            </w:r>
          </w:p>
        </w:tc>
        <w:tc>
          <w:tcPr>
            <w:tcW w:type="dxa" w:w="53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Refresh or update the local product list.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400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Invalid payload or non-selectable category.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Show field validation and ask the user to choose a detailed category.</w:t>
            </w:r>
          </w:p>
        </w:tc>
      </w:tr>
      <w:tr>
        <w:trPr>
          <w:cantSplit/>
        </w:trPr>
        <w:tc>
          <w:tcPr>
            <w:tcW w:type="dxa" w:w="1152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401</w:t>
            </w:r>
          </w:p>
        </w:tc>
        <w:tc>
          <w:tcPr>
            <w:tcW w:type="dxa" w:w="3744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Missing/expired access token.</w:t>
            </w:r>
          </w:p>
        </w:tc>
        <w:tc>
          <w:tcPr>
            <w:tcW w:type="dxa" w:w="532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Refresh token or send the user back to login.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404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Route or resource not found.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Check the base URL and resource id; show a recoverable error.</w:t>
            </w:r>
          </w:p>
        </w:tc>
      </w:tr>
    </w:tbl>
    <w:p>
      <w:pPr>
        <w:spacing w:after="20"/>
      </w:pPr>
    </w:p>
    <w:p>
      <w:pPr>
        <w:pStyle w:val="Heading1"/>
      </w:pPr>
      <w:r>
        <w:t>11. Verified locally</w:t>
      </w:r>
    </w:p>
    <w:p>
      <w:r>
        <w:t>The local Merchant app and API documentation were started and exercised against the taxonomy implementation. The following checks passed:</w:t>
      </w:r>
    </w:p>
    <w:p>
      <w:pPr>
        <w:pStyle w:val="ListBullet"/>
        <w:spacing w:after="40"/>
        <w:ind w:left="317" w:hanging="202"/>
      </w:pPr>
      <w:r>
        <w:t>Swagger UI responds at http://localhost:3000/api-docs.</w:t>
      </w:r>
    </w:p>
    <w:p>
      <w:pPr>
        <w:pStyle w:val="ListBullet"/>
        <w:spacing w:after="40"/>
        <w:ind w:left="317" w:hanging="202"/>
      </w:pPr>
      <w:r>
        <w:t>OpenAPI JSON documents the public category list, search, detail, and internal experience routes.</w:t>
      </w:r>
    </w:p>
    <w:p>
      <w:pPr>
        <w:pStyle w:val="ListBullet"/>
        <w:spacing w:after="40"/>
        <w:ind w:left="317" w:hanging="202"/>
      </w:pPr>
      <w:r>
        <w:t>Login returns an access token for protected requests.</w:t>
      </w:r>
    </w:p>
    <w:p>
      <w:pPr>
        <w:pStyle w:val="ListBullet"/>
        <w:spacing w:after="40"/>
        <w:ind w:left="317" w:hanging="202"/>
      </w:pPr>
      <w:r>
        <w:t>The root category request returns five top-level categories.</w:t>
      </w:r>
    </w:p>
    <w:p>
      <w:pPr>
        <w:pStyle w:val="ListBullet"/>
        <w:spacing w:after="40"/>
        <w:ind w:left="317" w:hanging="202"/>
      </w:pPr>
      <w:r>
        <w:t>The Drugs / Medications branch returns 39 direct children.</w:t>
      </w:r>
    </w:p>
    <w:p>
      <w:pPr>
        <w:pStyle w:val="ListBullet"/>
        <w:spacing w:after="40"/>
        <w:ind w:left="317" w:hanging="202"/>
      </w:pPr>
      <w:r>
        <w:t>Searching Shampoo returns two distinct results with different full paths.</w:t>
      </w:r>
    </w:p>
    <w:p>
      <w:pPr>
        <w:pStyle w:val="ListBullet"/>
        <w:spacing w:after="40"/>
        <w:ind w:left="317" w:hanging="202"/>
      </w:pPr>
      <w:r>
        <w:t>Requesting a broad parent category for product creation is rejected, as intended.</w:t>
      </w:r>
    </w:p>
    <w:p>
      <w:pPr>
        <w:pStyle w:val="ListBullet"/>
        <w:spacing w:after="40"/>
        <w:ind w:left="317" w:hanging="202"/>
      </w:pPr>
      <w:r>
        <w:t>Taxonomy startup synchronization is idempotent: the first run creates missing rows; subsequent unchanged startups report zero creations and zero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 w:val="clear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  <w:insideH w:val="single" w:sz="5" w:space="0" w:color="2F75B5"/>
              <w:insideV w:val="single" w:sz="5" w:space="0" w:color="2F75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9"/>
              </w:rPr>
              <w:t>Local browser note</w:t>
            </w:r>
          </w:p>
          <w:p>
            <w:pPr>
              <w:spacing w:after="0"/>
            </w:pPr>
            <w:r>
              <w:t>On the development machine used for verification, OrbStack owns 127.0.0.1:3000. Use http://localhost:3000 or http://[::1]:3000 for the Merchant process started locally.</w:t>
            </w:r>
          </w:p>
        </w:tc>
      </w:tr>
    </w:tbl>
    <w:p>
      <w:pPr>
        <w:spacing w:after="20"/>
      </w:pPr>
    </w:p>
    <w:p>
      <w:pPr>
        <w:pStyle w:val="Heading1"/>
      </w:pPr>
      <w:r>
        <w:t>12. Deployment handoff</w:t>
      </w:r>
    </w:p>
    <w:p>
      <w:r>
        <w:t>The backend changes are already committed and pushed to the current branch. The frontend only needs the deployed API base URL and the integration rules above; it does not need Firebase or access to the taxonomy seed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shd w:fill="17365D" w:val="clear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Value / action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Branch</w:t>
            </w:r>
          </w:p>
        </w:tc>
        <w:tc>
          <w:tcPr>
            <w:tcW w:type="dxa" w:w="784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feat-subscription-module-for-merchant</w:t>
            </w:r>
          </w:p>
        </w:tc>
      </w:tr>
      <w:tr>
        <w:trPr>
          <w:cantSplit/>
        </w:trPr>
        <w:tc>
          <w:tcPr>
            <w:tcW w:type="dxa" w:w="237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Commit</w:t>
            </w:r>
          </w:p>
        </w:tc>
        <w:tc>
          <w:tcPr>
            <w:tcW w:type="dxa" w:w="784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7268494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Frontend environment variable</w:t>
            </w:r>
          </w:p>
        </w:tc>
        <w:tc>
          <w:tcPr>
            <w:tcW w:type="dxa" w:w="784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Set MERCHANT_API_BASE_URL to the deployed Merchant API URL plus /api/v1/merchant.</w:t>
            </w:r>
          </w:p>
        </w:tc>
      </w:tr>
      <w:tr>
        <w:trPr>
          <w:cantSplit/>
        </w:trPr>
        <w:tc>
          <w:tcPr>
            <w:tcW w:type="dxa" w:w="2376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Swagger for development</w:t>
            </w:r>
          </w:p>
        </w:tc>
        <w:tc>
          <w:tcPr>
            <w:tcW w:type="dxa" w:w="7848"/>
            <w:shd w:fill="F7F9FB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http://localhost:3000/api-docs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Before release</w:t>
            </w:r>
          </w:p>
        </w:tc>
        <w:tc>
          <w:tcPr>
            <w:tcW w:type="dxa" w:w="7848"/>
            <w:shd w:fill="FFFFFF" w:val="clear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  <w:insideH w:val="single" w:sz="4" w:space="0" w:color="D9E1F2"/>
              <w:insideV w:val="single" w:sz="4" w:space="0" w:color="D9E1F2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Redeploy the backend branch, verify the deployed /api-docs route, then point the frontend environment to that deployed base URL.</w:t>
            </w:r>
          </w:p>
        </w:tc>
      </w:tr>
    </w:tbl>
    <w:p>
      <w:pPr>
        <w:spacing w:after="20"/>
      </w:pPr>
    </w:p>
    <w:p>
      <w:pPr>
        <w:pStyle w:val="Heading1"/>
      </w:pPr>
      <w:r>
        <w:t>Frontend checklist</w:t>
      </w:r>
    </w:p>
    <w:p>
      <w:pPr>
        <w:pStyle w:val="ListBullet"/>
        <w:spacing w:after="40"/>
        <w:ind w:left="317" w:hanging="202"/>
      </w:pPr>
      <w:r>
        <w:t>Configure the Merchant API base URL.</w:t>
      </w:r>
    </w:p>
    <w:p>
      <w:pPr>
        <w:pStyle w:val="ListBullet"/>
        <w:spacing w:after="40"/>
        <w:ind w:left="317" w:hanging="202"/>
      </w:pPr>
      <w:r>
        <w:t>Attach Bearer access tokens.</w:t>
      </w:r>
    </w:p>
    <w:p>
      <w:pPr>
        <w:pStyle w:val="ListBullet"/>
        <w:spacing w:after="40"/>
        <w:ind w:left="317" w:hanging="202"/>
      </w:pPr>
      <w:r>
        <w:t>Implement root → child → selectable leaf navigation.</w:t>
      </w:r>
    </w:p>
    <w:p>
      <w:pPr>
        <w:pStyle w:val="ListBullet"/>
        <w:spacing w:after="40"/>
        <w:ind w:left="317" w:hanging="202"/>
      </w:pPr>
      <w:r>
        <w:t>Implement search with breadcrumb display.</w:t>
      </w:r>
    </w:p>
    <w:p>
      <w:pPr>
        <w:pStyle w:val="ListBullet"/>
        <w:spacing w:after="40"/>
        <w:ind w:left="317" w:hanging="202"/>
      </w:pPr>
      <w:r>
        <w:t>Send categoryId on product create and update.</w:t>
      </w:r>
    </w:p>
    <w:p>
      <w:pPr>
        <w:pStyle w:val="ListBullet"/>
        <w:spacing w:after="40"/>
        <w:ind w:left="317" w:hanging="202"/>
      </w:pPr>
      <w:r>
        <w:t>Use categoryId for catalog and discount targeting.</w:t>
      </w:r>
    </w:p>
    <w:p>
      <w:pPr>
        <w:pStyle w:val="ListBullet"/>
        <w:spacing w:after="40"/>
        <w:ind w:left="317" w:hanging="202"/>
      </w:pPr>
      <w:r>
        <w:t>Handle 400/401/404 responses.</w:t>
      </w:r>
    </w:p>
    <w:p>
      <w:pPr>
        <w:pStyle w:val="ListBullet"/>
        <w:spacing w:after="40"/>
        <w:ind w:left="317" w:hanging="202"/>
      </w:pPr>
      <w:r>
        <w:t>Never send internal experience-service signature headers from the browser.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5"/>
      </w:rPr>
      <w:t xml:space="preserve">QuickMedic Merchant API Handoff  |  Commit 7268494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5"/>
      </w:rPr>
      <w:t>QUICKMEDIC  /  MERCHANT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