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AI/ML Engineer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AI/ML Engineer. Following our review of your application, assessment, and video introduction, we are confident that your skills and approach will be a strong contribution to our team. This role sits within our Engineering — Intelligence Layer Team, building the intelligence that powers KoreOS, including sequence models for workflow analysis, anomaly detection systems, and LLM-driven recommendation pipelines.</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AI/ML Engineer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Engineering — Intelligence Layer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Head of AI</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€107,500 gross per annum (within the band €90,000–€125,000),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€4,135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 </w:t>
      </w:r>
      <w:r w:rsidDel="00000000" w:rsidR="00000000" w:rsidRPr="00000000">
        <w:rPr>
          <w:sz w:val="22"/>
          <w:szCs w:val="22"/>
          <w:rtl w:val="0"/>
        </w:rPr>
        <w:t xml:space="preserve">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