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Senior Backend Engineer</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Senior Backend Engineer. Following our review of your application, assessment, and video introduction, we are confident that your skills and approach will be a strong contribution to our team. This role sits within our Engineering — Core Infrastructure Team, building and maintaining the high-performance backend systems that power KoreOS, including the data ingestion pipeline, the enterprise integration layer, and the workflow analytics engine.</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Senior Backend Engineer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Engineering — Core Infrastructure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Head of Engineering</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€100,000 gross per annum (within the band €85,000–€115,000),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€3,846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w:t>
      </w:r>
      <w:r w:rsidDel="00000000" w:rsidR="00000000" w:rsidRPr="00000000">
        <w:rPr>
          <w:sz w:val="22"/>
          <w:szCs w:val="22"/>
          <w:rtl w:val="0"/>
        </w:rPr>
        <w:t xml:space="preserve"> 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