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Senior Frontend Engineer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Senior Frontend Engineer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build and own the KoreOS web application; implement real-time data visualisations; collaborate with design to create intuitive operational dashboards; establish and maintain frontend architecture standards; ensure performance and accessibility across the product.</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rtl w:val="0"/>
        </w:rPr>
        <w:t xml:space="preserve">3.2. As a condition of dispatch, the Contractor shall make a refundable equipment 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€95,000 gross per annum, paid on a bi-weekly basis at approximately €3,654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Senior Frontend Engineer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