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F379A">
      <w:pPr>
        <w:spacing w:before="120" w:after="60"/>
      </w:pPr>
      <w:r>
        <w:rPr>
          <w:rFonts w:ascii="Georgia" w:hAnsi="Georgia" w:eastAsia="Georgia" w:cs="Georgia"/>
          <w:b/>
          <w:bCs/>
          <w:color w:val="1F4E79"/>
          <w:sz w:val="48"/>
          <w:szCs w:val="48"/>
        </w:rPr>
        <w:t>HR Analytics: Employee Attrition &amp; Retention</w:t>
      </w:r>
    </w:p>
    <w:p w14:paraId="2B991919">
      <w:pPr>
        <w:spacing w:before="0" w:after="40"/>
      </w:pPr>
      <w:r>
        <w:rPr>
          <w:rFonts w:ascii="Calibri" w:hAnsi="Calibri" w:eastAsia="Calibri" w:cs="Calibri"/>
          <w:i/>
          <w:iCs/>
          <w:color w:val="2E75B6"/>
          <w:sz w:val="21"/>
          <w:szCs w:val="21"/>
        </w:rPr>
        <w:t>Exploratory Data Analysis  ·  Statistical Validation  ·  Prescriptive Recommendations</w:t>
      </w:r>
    </w:p>
    <w:p w14:paraId="63F537BD">
      <w:pPr>
        <w:spacing w:before="0" w:after="0"/>
      </w:pPr>
      <w:r>
        <w:rPr>
          <w:rFonts w:ascii="Calibri" w:hAnsi="Calibri" w:eastAsia="Calibri" w:cs="Calibri"/>
          <w:b/>
          <w:bCs/>
          <w:color w:val="1C1C1C"/>
          <w:sz w:val="19"/>
          <w:szCs w:val="19"/>
        </w:rPr>
        <w:t xml:space="preserve">Owolabi Victoria Iyanu  </w:t>
      </w:r>
      <w:r>
        <w:rPr>
          <w:rFonts w:ascii="Calibri" w:hAnsi="Calibri" w:eastAsia="Calibri" w:cs="Calibri"/>
          <w:color w:val="555555"/>
          <w:sz w:val="19"/>
          <w:szCs w:val="19"/>
        </w:rPr>
        <w:t>|  B.Tech Food Engineering  |   Data Analyst  |  Python · SQL · Excel · Power BI</w:t>
      </w:r>
    </w:p>
    <w:p w14:paraId="39D1D630">
      <w:pPr>
        <w:pBdr>
          <w:bottom w:val="single" w:color="2E75B6" w:sz="8" w:space="4"/>
        </w:pBdr>
        <w:spacing w:before="160" w:after="160"/>
      </w:pPr>
    </w:p>
    <w:p w14:paraId="14BF8168">
      <w:pPr>
        <w:pBdr>
          <w:left w:val="single" w:color="2E75B6" w:sz="24" w:space="8"/>
        </w:pBdr>
        <w:shd w:val="clear" w:fill="EBF5FB"/>
        <w:spacing w:before="0" w:after="240" w:line="360" w:lineRule="auto"/>
        <w:ind w:left="180" w:right="180"/>
      </w:pPr>
      <w:r>
        <w:rPr>
          <w:rFonts w:ascii="Calibri" w:hAnsi="Calibri" w:eastAsia="Calibri" w:cs="Calibri"/>
          <w:b/>
          <w:bCs/>
          <w:color w:val="1F4E79"/>
          <w:sz w:val="20"/>
          <w:szCs w:val="20"/>
        </w:rPr>
        <w:t xml:space="preserve">Central Question:  </w:t>
      </w:r>
      <w:r>
        <w:rPr>
          <w:rFonts w:ascii="Calibri" w:hAnsi="Calibri" w:eastAsia="Calibri" w:cs="Calibri"/>
          <w:i/>
          <w:iCs/>
          <w:color w:val="1C1C1C"/>
          <w:sz w:val="20"/>
          <w:szCs w:val="20"/>
        </w:rPr>
        <w:t>Who are the employees most at risk of leaving</w:t>
      </w:r>
      <w:r>
        <w:rPr>
          <w:rFonts w:hint="default" w:cs="Calibri"/>
          <w:i/>
          <w:iCs/>
          <w:color w:val="1C1C1C"/>
          <w:sz w:val="20"/>
          <w:szCs w:val="20"/>
          <w:lang w:val="en-US"/>
        </w:rPr>
        <w:t xml:space="preserve">, </w:t>
      </w:r>
      <w:r>
        <w:rPr>
          <w:rFonts w:ascii="Calibri" w:hAnsi="Calibri" w:eastAsia="Calibri" w:cs="Calibri"/>
          <w:i/>
          <w:iCs/>
          <w:color w:val="1C1C1C"/>
          <w:sz w:val="20"/>
          <w:szCs w:val="20"/>
        </w:rPr>
        <w:t xml:space="preserve"> and what targeted interventions can the organisation implement to retain them?</w:t>
      </w:r>
    </w:p>
    <w:p w14:paraId="320A3FAB">
      <w:pPr>
        <w:pBdr>
          <w:bottom w:val="single" w:color="2E75B6" w:sz="6" w:space="3"/>
        </w:pBdr>
        <w:spacing w:before="240" w:after="100"/>
      </w:pPr>
      <w:r>
        <w:rPr>
          <w:rFonts w:ascii="Calibri" w:hAnsi="Calibri" w:eastAsia="Calibri" w:cs="Calibri"/>
          <w:b/>
          <w:bCs/>
          <w:color w:val="1F4E79"/>
          <w:spacing w:val="40"/>
          <w:sz w:val="22"/>
          <w:szCs w:val="22"/>
        </w:rPr>
        <w:t>SCALE OF THE PROBLEM</w:t>
      </w:r>
    </w:p>
    <w:p w14:paraId="4FC2317B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D8B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13B674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>16.1%</w:t>
            </w:r>
          </w:p>
          <w:p w14:paraId="0E0F61D6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A8CCEC"/>
                <w:sz w:val="15"/>
                <w:szCs w:val="15"/>
              </w:rPr>
              <w:t>Overall Attrition Rate</w:t>
            </w:r>
          </w:p>
        </w:tc>
        <w:tc>
          <w:tcPr>
            <w:tcW w:w="234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99B936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>237</w:t>
            </w:r>
          </w:p>
          <w:p w14:paraId="5100BADA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A8CCEC"/>
                <w:sz w:val="15"/>
                <w:szCs w:val="15"/>
              </w:rPr>
              <w:t>Employees Who Left</w:t>
            </w:r>
          </w:p>
        </w:tc>
        <w:tc>
          <w:tcPr>
            <w:tcW w:w="234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445E36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32"/>
                <w:szCs w:val="32"/>
              </w:rPr>
              <w:t>$2,002</w:t>
            </w:r>
          </w:p>
          <w:p w14:paraId="1B417540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555555"/>
                <w:sz w:val="15"/>
                <w:szCs w:val="15"/>
              </w:rPr>
              <w:t>Monthly Income Gap (leavers)</w:t>
            </w:r>
          </w:p>
        </w:tc>
        <w:tc>
          <w:tcPr>
            <w:tcW w:w="234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281899">
            <w:pPr>
              <w:spacing w:before="0" w:after="2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32"/>
                <w:szCs w:val="32"/>
              </w:rPr>
              <w:t>1,470</w:t>
            </w:r>
          </w:p>
          <w:p w14:paraId="4A70DB65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555555"/>
                <w:sz w:val="15"/>
                <w:szCs w:val="15"/>
              </w:rPr>
              <w:t>Total Employees in Dataset</w:t>
            </w:r>
          </w:p>
        </w:tc>
      </w:tr>
    </w:tbl>
    <w:p w14:paraId="6B80C346">
      <w:pPr>
        <w:spacing w:before="0" w:after="0"/>
      </w:pPr>
    </w:p>
    <w:p w14:paraId="04E01AC4">
      <w:pPr>
        <w:pBdr>
          <w:left w:val="single" w:color="2E75B6" w:sz="16" w:space="6"/>
        </w:pBdr>
        <w:shd w:val="clear" w:fill="EBF5FB"/>
        <w:spacing w:before="120" w:after="80"/>
        <w:ind w:left="160"/>
      </w:pPr>
      <w:r>
        <w:rPr>
          <w:rFonts w:ascii="Calibri" w:hAnsi="Calibri" w:eastAsia="Calibri" w:cs="Calibri"/>
          <w:b/>
          <w:bCs/>
          <w:color w:val="1F4E79"/>
          <w:sz w:val="19"/>
          <w:szCs w:val="19"/>
        </w:rPr>
        <w:t xml:space="preserve">Estimated replacement cost: </w:t>
      </w:r>
      <w:r>
        <w:rPr>
          <w:rFonts w:ascii="Calibri" w:hAnsi="Calibri" w:eastAsia="Calibri" w:cs="Calibri"/>
          <w:color w:val="1C1C1C"/>
          <w:sz w:val="19"/>
          <w:szCs w:val="19"/>
        </w:rPr>
        <w:t>Calculated from the 237 leavers’ actual salary data using 50–200% of annual salary (industry benchmark). Even the conservative estimate represents significant avoidable financial exposure. See full notebook for the computed dollar range.</w:t>
      </w:r>
    </w:p>
    <w:p w14:paraId="31FC0F3C">
      <w:pPr>
        <w:pBdr>
          <w:bottom w:val="single" w:color="2E75B6" w:sz="6" w:space="3"/>
        </w:pBdr>
        <w:spacing w:before="240" w:after="100"/>
      </w:pPr>
      <w:r>
        <w:rPr>
          <w:rFonts w:ascii="Calibri" w:hAnsi="Calibri" w:eastAsia="Calibri" w:cs="Calibri"/>
          <w:b/>
          <w:bCs/>
          <w:color w:val="1F4E79"/>
          <w:spacing w:val="40"/>
          <w:sz w:val="22"/>
          <w:szCs w:val="22"/>
        </w:rPr>
        <w:t>KEY FINDINGS</w:t>
      </w:r>
    </w:p>
    <w:p w14:paraId="6ADA246A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"/>
        <w:gridCol w:w="4800"/>
        <w:gridCol w:w="3400"/>
        <w:gridCol w:w="800"/>
      </w:tblGrid>
      <w:tr w14:paraId="1C249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F6648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13C56B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4E603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Business Implication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504D7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14:paraId="5A09D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E3D31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9"/>
                <w:szCs w:val="19"/>
              </w:rPr>
              <w:t>1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AE3528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Overtime workers: 30.5% attrition vs. 10.4% non-overtime — largest gap in dataset. Statistically confirmed (χ²=87.56, Cramér’s V=0.24, Moderate effect).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42C8B0">
            <w:r>
              <w:rPr>
                <w:rFonts w:ascii="Calibri" w:hAnsi="Calibri" w:eastAsia="Calibri" w:cs="Calibri"/>
                <w:i/>
                <w:iCs/>
                <w:color w:val="555555"/>
                <w:sz w:val="18"/>
                <w:szCs w:val="18"/>
              </w:rPr>
              <w:t>Structural overtime is a burnout signal. Immediate workload audit required.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BF1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HIGH</w:t>
            </w:r>
          </w:p>
        </w:tc>
      </w:tr>
      <w:tr w14:paraId="3A95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8B1851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9"/>
                <w:szCs w:val="19"/>
              </w:rPr>
              <w:t>2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D25290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Job Level 1: 26.3% attrition. Leavers average 4 years younger. 85% of attrition concentrated in the first 1–3 years of tenure.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CB244B">
            <w:r>
              <w:rPr>
                <w:rFonts w:ascii="Calibri" w:hAnsi="Calibri" w:eastAsia="Calibri" w:cs="Calibri"/>
                <w:i/>
                <w:iCs/>
                <w:color w:val="555555"/>
                <w:sz w:val="18"/>
                <w:szCs w:val="18"/>
              </w:rPr>
              <w:t>Entry-level attrition peaks early. Onboarding and career pathing are critical interventions.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EC08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HIGH</w:t>
            </w:r>
          </w:p>
        </w:tc>
      </w:tr>
      <w:tr w14:paraId="523C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D29388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9"/>
                <w:szCs w:val="19"/>
              </w:rPr>
              <w:t>3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6D770E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Single employees: 25.5% attrition vs. 12.5% married. Statistically confirmed (χ²=46.16, Cramér’s V=0.18).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CDB44F">
            <w:r>
              <w:rPr>
                <w:rFonts w:ascii="Calibri" w:hAnsi="Calibri" w:eastAsia="Calibri" w:cs="Calibri"/>
                <w:i/>
                <w:iCs/>
                <w:color w:val="555555"/>
                <w:sz w:val="18"/>
                <w:szCs w:val="18"/>
              </w:rPr>
              <w:t>Lower switching costs. Flexibility and social integration are the primary retention levers.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BCB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HIGH</w:t>
            </w:r>
          </w:p>
        </w:tc>
      </w:tr>
      <w:tr w14:paraId="7657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24149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9"/>
                <w:szCs w:val="19"/>
              </w:rPr>
              <w:t>4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8B3C6C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No stock options (Level 0): 24.4% attrition vs. 9.4% (Level 1) and 7.6% (Level 2).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55E96A">
            <w:r>
              <w:rPr>
                <w:rFonts w:ascii="Calibri" w:hAnsi="Calibri" w:eastAsia="Calibri" w:cs="Calibri"/>
                <w:i/>
                <w:iCs/>
                <w:color w:val="555555"/>
                <w:sz w:val="18"/>
                <w:szCs w:val="18"/>
              </w:rPr>
              <w:t>Even minimal equity dramatically anchors employees. Eligibility review for high-risk roles recommended.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1649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HIGH</w:t>
            </w:r>
          </w:p>
        </w:tc>
      </w:tr>
      <w:tr w14:paraId="4CAA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86A21B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9"/>
                <w:szCs w:val="19"/>
              </w:rPr>
              <w:t>5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1ACF8A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Low Job Involvement: 33.7%; Low Environment Satisfaction: 25.4%; Low Job Satisfaction: 22.8%. All three statistically confirmed (p&lt;0.001).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630428">
            <w:r>
              <w:rPr>
                <w:rFonts w:ascii="Calibri" w:hAnsi="Calibri" w:eastAsia="Calibri" w:cs="Calibri"/>
                <w:i/>
                <w:iCs/>
                <w:color w:val="555555"/>
                <w:sz w:val="18"/>
                <w:szCs w:val="18"/>
              </w:rPr>
              <w:t>Consistent pattern across 3 independent measures strongly supports pulse survey and manager training investment.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BFC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A6F1E"/>
                <w:sz w:val="16"/>
                <w:szCs w:val="16"/>
              </w:rPr>
              <w:t>MED</w:t>
            </w:r>
          </w:p>
        </w:tc>
      </w:tr>
      <w:tr w14:paraId="49EE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DF901C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9"/>
                <w:szCs w:val="19"/>
              </w:rPr>
              <w:t>6</w:t>
            </w:r>
          </w:p>
        </w:tc>
        <w:tc>
          <w:tcPr>
            <w:tcW w:w="4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F5AF7C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Leavers had significantly shorter tenure with their current manager. Manager continuity and quality is an underused retention lever.</w:t>
            </w:r>
          </w:p>
        </w:tc>
        <w:tc>
          <w:tcPr>
            <w:tcW w:w="34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BB94D9">
            <w:r>
              <w:rPr>
                <w:rFonts w:ascii="Calibri" w:hAnsi="Calibri" w:eastAsia="Calibri" w:cs="Calibri"/>
                <w:i/>
                <w:iCs/>
                <w:color w:val="555555"/>
                <w:sz w:val="18"/>
                <w:szCs w:val="18"/>
              </w:rPr>
              <w:t>Team-level attrition tracking by manager should be added to the HR dashboard.</w:t>
            </w:r>
          </w:p>
        </w:tc>
        <w:tc>
          <w:tcPr>
            <w:tcW w:w="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8C8D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A6F1E"/>
                <w:sz w:val="16"/>
                <w:szCs w:val="16"/>
              </w:rPr>
              <w:t>MED</w:t>
            </w:r>
          </w:p>
        </w:tc>
      </w:tr>
    </w:tbl>
    <w:p w14:paraId="356595DD">
      <w:pPr>
        <w:spacing w:before="0" w:after="0"/>
      </w:pPr>
    </w:p>
    <w:p w14:paraId="354B153C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555555"/>
          <w:sz w:val="19"/>
          <w:szCs w:val="19"/>
        </w:rPr>
        <w:t>Variables statistically ruled out (chi-square p &gt; 0.05): Gender (V=0.03), Education Level (V=0.05), Relationship Satisfaction (V=0.06). Explicitly excluding non-significant variables prevents misallocated retention budget.</w:t>
      </w:r>
    </w:p>
    <w:p w14:paraId="2492C398">
      <w:pPr>
        <w:pBdr>
          <w:bottom w:val="single" w:color="2E75B6" w:sz="6" w:space="3"/>
        </w:pBdr>
        <w:spacing w:before="240" w:after="100"/>
      </w:pPr>
      <w:r>
        <w:rPr>
          <w:rFonts w:ascii="Calibri" w:hAnsi="Calibri" w:eastAsia="Calibri" w:cs="Calibri"/>
          <w:b/>
          <w:bCs/>
          <w:color w:val="1F4E79"/>
          <w:spacing w:val="40"/>
          <w:sz w:val="22"/>
          <w:szCs w:val="22"/>
        </w:rPr>
        <w:t>THE AT-RISK EMPLOYEE PROFILE</w:t>
      </w:r>
    </w:p>
    <w:p w14:paraId="135699EA">
      <w:pPr>
        <w:pBdr>
          <w:left w:val="single" w:color="1F4E79" w:sz="24" w:space="8"/>
        </w:pBdr>
        <w:shd w:val="clear" w:fill="D6E4F0"/>
        <w:spacing w:before="80" w:after="120"/>
        <w:ind w:left="180"/>
      </w:pPr>
      <w:r>
        <w:rPr>
          <w:rFonts w:ascii="Calibri" w:hAnsi="Calibri" w:eastAsia="Calibri" w:cs="Calibri"/>
          <w:color w:val="1C1C1C"/>
          <w:sz w:val="19"/>
          <w:szCs w:val="19"/>
        </w:rPr>
        <w:t>Under 35  ·  Single  ·  Sales Representative or Laboratory Technician  ·  Job Level 1–2  ·  Below-median income  ·  Works overtime  ·  No stock options  ·  Low satisfaction scores  ·  3+ years without promotion</w:t>
      </w:r>
    </w:p>
    <w:p w14:paraId="6D05B1B7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555555"/>
          <w:sz w:val="19"/>
          <w:szCs w:val="19"/>
        </w:rPr>
        <w:t>This profile is immediately actionable — HR can query current employee records against these criteria and flag at-risk individuals for proactive manager check-ins without waiting for resignations.</w:t>
      </w:r>
    </w:p>
    <w:p w14:paraId="159F6F0E">
      <w:pPr>
        <w:pBdr>
          <w:bottom w:val="single" w:color="2E75B6" w:sz="6" w:space="3"/>
        </w:pBdr>
        <w:spacing w:before="240" w:after="100"/>
      </w:pPr>
      <w:r>
        <w:rPr>
          <w:rFonts w:ascii="Calibri" w:hAnsi="Calibri" w:eastAsia="Calibri" w:cs="Calibri"/>
          <w:b/>
          <w:bCs/>
          <w:color w:val="1F4E79"/>
          <w:spacing w:val="40"/>
          <w:sz w:val="22"/>
          <w:szCs w:val="22"/>
        </w:rPr>
        <w:t>RETENTION RECOMMENDATIONS</w:t>
      </w:r>
    </w:p>
    <w:p w14:paraId="3597147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"/>
        <w:gridCol w:w="2000"/>
        <w:gridCol w:w="4200"/>
        <w:gridCol w:w="2800"/>
      </w:tblGrid>
      <w:tr w14:paraId="313E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B94142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2CA9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9ADB54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B271F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KPI to Track</w:t>
            </w:r>
          </w:p>
        </w:tc>
      </w:tr>
      <w:tr w14:paraId="2B26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F58D5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9B7E5B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Entry-Level &amp; Young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D973FC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Structured onboarding (90-day + 1-year checkpoints), early career pathing conversations within 6 months, mentorship programme.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ADBD27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Attrition rate: &lt;3 years tenure (quarterly)</w:t>
            </w:r>
          </w:p>
        </w:tc>
      </w:tr>
      <w:tr w14:paraId="2D76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4A4FC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061802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Overtime Workers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F2946C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Overtime cap (20hrs/month max), structural workload audit with 30/60/90 day remediation plan, overtime tracking in HR dashboard.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39206A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% workforce on overtime; attrition split by OT status (monthly)</w:t>
            </w:r>
          </w:p>
        </w:tc>
      </w:tr>
      <w:tr w14:paraId="54E9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8BAC2F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4D575E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Sales Rep &amp; Lab Tech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6EA20D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Compensation benchmarking against market medians. Separate base vs. variable pay analysis for Sales roles before drawing conclusions.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E18C45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Median income gap by role (annually)</w:t>
            </w:r>
          </w:p>
        </w:tc>
      </w:tr>
      <w:tr w14:paraId="5E21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33A77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D43C12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Stagnating Careers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5F3853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Promotion pipeline audit for all employees with 3+ years since last promotion. Career lattice communication to reframe non-vertical progression.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3D5B3D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% employees at 3+ and 5+ years since promotion (quarterly)</w:t>
            </w:r>
          </w:p>
        </w:tc>
      </w:tr>
      <w:tr w14:paraId="3101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3F0B6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00A2FD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Low Satisfaction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AA8FA4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Quarterly pulse surveys (5–7 questions), manager effectiveness training, mandatory HR check-in when scores fall below threshold.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75C4F5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Avg satisfaction scores vs. baseline (quarterly)</w:t>
            </w:r>
          </w:p>
        </w:tc>
      </w:tr>
      <w:tr w14:paraId="02E0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571934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41FF62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Single Employees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142CF0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Flexible/remote work policies, commuter benefits for employees beyond distance threshold, ERG and social integration programmes.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EC4C17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Attrition by marital status and distance band (semi-annually)</w:t>
            </w:r>
          </w:p>
        </w:tc>
      </w:tr>
      <w:tr w14:paraId="1DBF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04110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AD0650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No Stock Options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5E9DEE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Broaden Level 1 option eligibility to Sales Rep and Lab Tech roles. Vesting communication and financial literacy sessions.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2900DE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Attrition rate by stock option level (annually)</w:t>
            </w:r>
          </w:p>
        </w:tc>
      </w:tr>
      <w:tr w14:paraId="2447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D1EC5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CC5DA8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Manager Continuity</w:t>
            </w:r>
          </w:p>
        </w:tc>
        <w:tc>
          <w:tcPr>
            <w:tcW w:w="42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90EB91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Team-level attrition dashboard by manager. Manager effectiveness training. Flag teams with 2+ manager changes in 12 months for proactive HR check-in.</w:t>
            </w:r>
          </w:p>
        </w:tc>
        <w:tc>
          <w:tcPr>
            <w:tcW w:w="28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B5C1E3">
            <w:r>
              <w:rPr>
                <w:rFonts w:ascii="Calibri" w:hAnsi="Calibri" w:eastAsia="Calibri" w:cs="Calibri"/>
                <w:i/>
                <w:iCs/>
                <w:color w:val="555555"/>
                <w:sz w:val="17"/>
                <w:szCs w:val="17"/>
              </w:rPr>
              <w:t>Team attrition rate by manager (quarterly)</w:t>
            </w:r>
          </w:p>
        </w:tc>
      </w:tr>
    </w:tbl>
    <w:p w14:paraId="0CC9BC17">
      <w:pPr>
        <w:pBdr>
          <w:bottom w:val="single" w:color="2E75B6" w:sz="6" w:space="3"/>
        </w:pBdr>
        <w:spacing w:before="240" w:after="100"/>
      </w:pPr>
      <w:r>
        <w:rPr>
          <w:rFonts w:ascii="Calibri" w:hAnsi="Calibri" w:eastAsia="Calibri" w:cs="Calibri"/>
          <w:b/>
          <w:bCs/>
          <w:color w:val="1F4E79"/>
          <w:spacing w:val="40"/>
          <w:sz w:val="22"/>
          <w:szCs w:val="22"/>
        </w:rPr>
        <w:t>METHODOLOGY &amp; TOOLS</w:t>
      </w:r>
    </w:p>
    <w:p w14:paraId="12707CDB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EEE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09B5A8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Dataset</w:t>
            </w:r>
          </w:p>
        </w:tc>
        <w:tc>
          <w:tcPr>
            <w:tcW w:w="7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705761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IBM HR Analytics Employee Attrition Dataset — 1,470 employees, 35 variables, 237 confirmed attritions (16.1% rate)</w:t>
            </w:r>
          </w:p>
        </w:tc>
      </w:tr>
      <w:tr w14:paraId="493C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C20BA4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Tools</w:t>
            </w:r>
          </w:p>
        </w:tc>
        <w:tc>
          <w:tcPr>
            <w:tcW w:w="7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C66BFD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Python (pandas, NumPy, matplotlib, seaborn, scipy.stats) · Jupyter Notebook</w:t>
            </w:r>
          </w:p>
        </w:tc>
      </w:tr>
      <w:tr w14:paraId="182B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52C27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Statistical Tests</w:t>
            </w:r>
          </w:p>
        </w:tc>
        <w:tc>
          <w:tcPr>
            <w:tcW w:w="7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52492A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Chi-square test of independence · Cramér’s V effect size · Applied to all 10 categorical variables against Attrition</w:t>
            </w:r>
          </w:p>
        </w:tc>
      </w:tr>
      <w:tr w14:paraId="6F9A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77D50A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Approach</w:t>
            </w:r>
          </w:p>
        </w:tc>
        <w:tc>
          <w:tcPr>
            <w:tcW w:w="7360" w:type="dxa"/>
            <w:tcBorders>
              <w:top w:val="single" w:color="C5D8EC" w:sz="0" w:space="0"/>
              <w:left w:val="single" w:color="C5D8EC" w:sz="0" w:space="0"/>
              <w:bottom w:val="single" w:color="C5D8EC" w:sz="0" w:space="0"/>
              <w:right w:val="single" w:color="C5D8E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CDD6D">
            <w:r>
              <w:rPr>
                <w:rFonts w:ascii="Calibri" w:hAnsi="Calibri" w:eastAsia="Calibri" w:cs="Calibri"/>
                <w:color w:val="1C1C1C"/>
                <w:sz w:val="18"/>
                <w:szCs w:val="18"/>
              </w:rPr>
              <w:t>Univariate EDA → Bivariate analysis → Statistical validation → At-risk profiling → Prescriptive recommendations with KPIs and implementation timelines</w:t>
            </w:r>
          </w:p>
        </w:tc>
      </w:tr>
    </w:tbl>
    <w:p w14:paraId="620C4278">
      <w:pPr>
        <w:pBdr>
          <w:bottom w:val="single" w:color="2E75B6" w:sz="6" w:space="3"/>
        </w:pBdr>
        <w:spacing w:before="240" w:after="100"/>
      </w:pPr>
      <w:r>
        <w:rPr>
          <w:rFonts w:ascii="Calibri" w:hAnsi="Calibri" w:eastAsia="Calibri" w:cs="Calibri"/>
          <w:b/>
          <w:bCs/>
          <w:color w:val="1F4E79"/>
          <w:spacing w:val="40"/>
          <w:sz w:val="22"/>
          <w:szCs w:val="22"/>
        </w:rPr>
        <w:t>ABOUT THE ANALYST</w:t>
      </w:r>
    </w:p>
    <w:p w14:paraId="433F2FE9">
      <w:pPr>
        <w:spacing w:before="8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Owolabi Victoria Iyanu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·  Recent Graduate  ·  Aspiring Data / People Analytics Professional</w:t>
      </w:r>
    </w:p>
    <w:p w14:paraId="5A9166CE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 xml:space="preserve">Background: </w:t>
      </w:r>
      <w:r>
        <w:rPr>
          <w:rFonts w:ascii="Calibri" w:hAnsi="Calibri" w:eastAsia="Calibri" w:cs="Calibri"/>
          <w:color w:val="1C1C1C"/>
          <w:sz w:val="19"/>
          <w:szCs w:val="19"/>
        </w:rPr>
        <w:t>B.Tech Food Engineering — a technical foundation in quantitative analysis, systems thinking, and process optimisation, now applied to people and business data.</w:t>
      </w:r>
    </w:p>
    <w:p w14:paraId="0046C30C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 xml:space="preserve">Currently: </w:t>
      </w:r>
      <w:r>
        <w:rPr>
          <w:rFonts w:ascii="Calibri" w:hAnsi="Calibri" w:eastAsia="Calibri" w:cs="Calibri"/>
          <w:color w:val="1C1C1C"/>
          <w:sz w:val="19"/>
          <w:szCs w:val="19"/>
        </w:rPr>
        <w:t>Building a data analytics portfolio</w:t>
      </w:r>
      <w:bookmarkStart w:id="0" w:name="_GoBack"/>
      <w:bookmarkEnd w:id="0"/>
      <w:r>
        <w:rPr>
          <w:rFonts w:ascii="Calibri" w:hAnsi="Calibri" w:eastAsia="Calibri" w:cs="Calibri"/>
          <w:color w:val="1C1C1C"/>
          <w:sz w:val="19"/>
          <w:szCs w:val="19"/>
        </w:rPr>
        <w:t>.</w:t>
      </w:r>
    </w:p>
    <w:p w14:paraId="42D261BE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 xml:space="preserve">Tools: </w:t>
      </w:r>
      <w:r>
        <w:rPr>
          <w:rFonts w:ascii="Calibri" w:hAnsi="Calibri" w:eastAsia="Calibri" w:cs="Calibri"/>
          <w:color w:val="1C1C1C"/>
          <w:sz w:val="19"/>
          <w:szCs w:val="19"/>
        </w:rPr>
        <w:t>Python (pandas, NumPy, matplotlib, seaborn, scipy) · SQL · Microsoft Excel · Power BI</w:t>
      </w:r>
    </w:p>
    <w:p w14:paraId="326F4FAB">
      <w:pPr>
        <w:pStyle w:val="14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 xml:space="preserve">Focus areas: </w:t>
      </w:r>
      <w:r>
        <w:rPr>
          <w:rFonts w:ascii="Calibri" w:hAnsi="Calibri" w:eastAsia="Calibri" w:cs="Calibri"/>
          <w:color w:val="1C1C1C"/>
          <w:sz w:val="19"/>
          <w:szCs w:val="19"/>
        </w:rPr>
        <w:t>People Analytics · HR Analytics · Business Analysis · Data-driven decision making</w:t>
      </w:r>
    </w:p>
    <w:p w14:paraId="3B31571C">
      <w:pPr>
        <w:spacing w:before="0" w:after="0"/>
      </w:pPr>
    </w:p>
    <w:p w14:paraId="5E6973D8">
      <w:pPr>
        <w:spacing w:before="60" w:after="60"/>
        <w:jc w:val="left"/>
      </w:pPr>
      <w:r>
        <w:rPr>
          <w:rFonts w:ascii="Calibri" w:hAnsi="Calibri" w:eastAsia="Calibri" w:cs="Calibri"/>
          <w:b w:val="0"/>
          <w:bCs w:val="0"/>
          <w:i/>
          <w:iCs/>
          <w:color w:val="555555"/>
          <w:sz w:val="19"/>
          <w:szCs w:val="19"/>
        </w:rPr>
        <w:t>Full project notebook available on GitHub. Includes all code, chi-square test outputs with Cramér’s V effect sizes, visualisations, and 8 retention recommendations with implementation timelines and KPIs.</w:t>
      </w:r>
    </w:p>
    <w:sectPr>
      <w:headerReference r:id="rId3" w:type="default"/>
      <w:footerReference r:id="rId4" w:type="default"/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9756B">
    <w:pPr>
      <w:pBdr>
        <w:top w:val="single" w:color="C5D8EC" w:sz="4" w:space="4"/>
      </w:pBdr>
      <w:spacing w:before="60"/>
    </w:pPr>
    <w:r>
      <w:rPr>
        <w:rFonts w:ascii="Calibri" w:hAnsi="Calibri" w:eastAsia="Calibri" w:cs="Calibri"/>
        <w:color w:val="555555"/>
        <w:sz w:val="16"/>
        <w:szCs w:val="16"/>
      </w:rPr>
      <w:t>Owolabi Victoria Iyanu  |  Data Analyst  |  B.Tech Food Engineering  |  github.com/[yourhandle]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DD576">
    <w:pPr>
      <w:shd w:val="clear" w:fill="1F4E79"/>
      <w:spacing w:before="80" w:after="80"/>
      <w:ind w:left="160"/>
    </w:pPr>
    <w:r>
      <w:rPr>
        <w:rFonts w:ascii="Calibri" w:hAnsi="Calibri" w:eastAsia="Calibri" w:cs="Calibri"/>
        <w:b/>
        <w:bCs/>
        <w:color w:val="FFFFFF"/>
        <w:sz w:val="18"/>
        <w:szCs w:val="18"/>
      </w:rPr>
      <w:t xml:space="preserve">HR Analytics: Employee Attrition &amp; Retention  </w:t>
    </w:r>
    <w:r>
      <w:rPr>
        <w:rFonts w:ascii="Calibri" w:hAnsi="Calibri" w:eastAsia="Calibri" w:cs="Calibri"/>
        <w:color w:val="A8CCEC"/>
        <w:sz w:val="18"/>
        <w:szCs w:val="18"/>
      </w:rPr>
      <w:t>|  Executive Summary  |  Owolabi Victoria Iyanu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7DF7F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2026-03-10T09:54:00Z</dcterms:created>
  <dc:creator>Un-named</dc:creator>
  <cp:lastModifiedBy>USER</cp:lastModifiedBy>
  <dcterms:modified xsi:type="dcterms:W3CDTF">2026-03-10T10:22:29Z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A1DE8F5511C5494D8AA73B355CA235BD_12</vt:lpwstr>
  </property>
</Properties>
</file>