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080F5" w14:textId="1BD6492F" w:rsidR="00624A55" w:rsidRPr="00624A55" w:rsidRDefault="00186C79" w:rsidP="00624A55">
      <w:pPr>
        <w:pStyle w:val="Heading1"/>
        <w:rPr>
          <w:lang w:val="en-AU"/>
        </w:rPr>
      </w:pPr>
      <w:r>
        <w:rPr>
          <w:lang w:val="en-AU"/>
        </w:rPr>
        <w:t>about apparent retention rates</w:t>
      </w:r>
    </w:p>
    <w:p w14:paraId="58BA63E0" w14:textId="41DA5678" w:rsidR="00186C79" w:rsidRDefault="00186C79" w:rsidP="00186C79">
      <w:pPr>
        <w:pStyle w:val="Intro"/>
        <w:jc w:val="both"/>
      </w:pPr>
      <w:r w:rsidRPr="00186C79">
        <w:t>Apparent retention rates (ARR) are calculated based on aggregate enrolment data and provide an indicative measurement of student engagement in secondary education. The Department of Education and Training (DET) computes and publishes ARR data at a state-wide and DET region level only.</w:t>
      </w:r>
    </w:p>
    <w:p w14:paraId="70341022" w14:textId="0033468B" w:rsidR="00186C79" w:rsidRDefault="00186C79" w:rsidP="00624A55">
      <w:pPr>
        <w:pStyle w:val="Intro"/>
      </w:pPr>
    </w:p>
    <w:p w14:paraId="42D4480E" w14:textId="21A72337" w:rsidR="00186C79" w:rsidRPr="00186C79" w:rsidRDefault="00186C79" w:rsidP="00186C79">
      <w:pPr>
        <w:pStyle w:val="Intro"/>
        <w:rPr>
          <w:color w:val="auto"/>
        </w:rPr>
      </w:pPr>
      <w:r w:rsidRPr="00186C79">
        <w:rPr>
          <w:color w:val="auto"/>
        </w:rPr>
        <w:t>The ARR for year 7 to 12 (ARR 7-12) refers to the Year 12 enrolment expressed as a proportion of the Year 7 enrolment five years earlier.  For example, the calculation of the 20</w:t>
      </w:r>
      <w:r w:rsidR="00F52BC1">
        <w:rPr>
          <w:color w:val="auto"/>
        </w:rPr>
        <w:t>20</w:t>
      </w:r>
      <w:bookmarkStart w:id="0" w:name="_GoBack"/>
      <w:bookmarkEnd w:id="0"/>
      <w:r w:rsidRPr="00186C79">
        <w:rPr>
          <w:color w:val="auto"/>
        </w:rPr>
        <w:t xml:space="preserve"> ARR 7-12 is as follows:</w:t>
      </w:r>
    </w:p>
    <w:p w14:paraId="64DD23FD" w14:textId="0615469D" w:rsidR="00186C79" w:rsidRPr="00186C79" w:rsidRDefault="00186C79" w:rsidP="00186C79">
      <w:pPr>
        <w:pStyle w:val="Intro"/>
        <w:rPr>
          <w:color w:val="auto"/>
        </w:rPr>
      </w:pPr>
      <w:r w:rsidRPr="00186C79">
        <w:rPr>
          <w:color w:val="auto"/>
        </w:rPr>
        <w:tab/>
      </w:r>
      <w:r w:rsidRPr="00186C79">
        <w:rPr>
          <w:color w:val="auto"/>
        </w:rPr>
        <w:tab/>
      </w:r>
      <w:r w:rsidRPr="00186C79">
        <w:rPr>
          <w:color w:val="auto"/>
        </w:rPr>
        <w:tab/>
        <w:t>Total Year 12 FTE Enrolments in 20</w:t>
      </w:r>
      <w:r w:rsidR="00F52BC1">
        <w:rPr>
          <w:color w:val="auto"/>
        </w:rPr>
        <w:t>20</w:t>
      </w:r>
    </w:p>
    <w:p w14:paraId="12BA9820" w14:textId="604A9305" w:rsidR="00186C79" w:rsidRPr="00186C79" w:rsidRDefault="00186C79" w:rsidP="00186C79">
      <w:pPr>
        <w:pStyle w:val="Intro"/>
        <w:rPr>
          <w:color w:val="auto"/>
        </w:rPr>
      </w:pPr>
      <w:r w:rsidRPr="00186C79">
        <w:rPr>
          <w:color w:val="auto"/>
        </w:rPr>
        <w:t>ARR 7-12</w:t>
      </w:r>
      <w:r w:rsidRPr="00186C79">
        <w:rPr>
          <w:color w:val="auto"/>
        </w:rPr>
        <w:tab/>
        <w:t>=</w:t>
      </w:r>
      <w:r w:rsidRPr="00186C79">
        <w:rPr>
          <w:color w:val="auto"/>
        </w:rPr>
        <w:tab/>
      </w:r>
      <w:r>
        <w:rPr>
          <w:color w:val="auto"/>
        </w:rPr>
        <w:t>---------------------------------------------------</w:t>
      </w:r>
      <w:r w:rsidRPr="00186C79">
        <w:rPr>
          <w:color w:val="auto"/>
        </w:rPr>
        <w:tab/>
        <w:t>X 100</w:t>
      </w:r>
    </w:p>
    <w:p w14:paraId="1B6AB6BB" w14:textId="0E08129A" w:rsidR="00186C79" w:rsidRPr="00186C79" w:rsidRDefault="00186C79" w:rsidP="00186C79">
      <w:pPr>
        <w:pStyle w:val="Intro"/>
        <w:rPr>
          <w:color w:val="auto"/>
        </w:rPr>
      </w:pPr>
      <w:r w:rsidRPr="00186C79">
        <w:rPr>
          <w:color w:val="auto"/>
        </w:rPr>
        <w:tab/>
      </w:r>
      <w:r w:rsidRPr="00186C79">
        <w:rPr>
          <w:color w:val="auto"/>
        </w:rPr>
        <w:tab/>
      </w:r>
      <w:r w:rsidRPr="00186C79">
        <w:rPr>
          <w:color w:val="auto"/>
        </w:rPr>
        <w:tab/>
        <w:t>Total Year 7 FTE Enrolments in 201</w:t>
      </w:r>
      <w:r w:rsidR="00F52BC1">
        <w:rPr>
          <w:color w:val="auto"/>
        </w:rPr>
        <w:t>5</w:t>
      </w:r>
    </w:p>
    <w:p w14:paraId="67F0D2C3" w14:textId="77777777" w:rsidR="00186C79" w:rsidRPr="00186C79" w:rsidRDefault="00186C79" w:rsidP="00186C79">
      <w:pPr>
        <w:pStyle w:val="Intro"/>
        <w:rPr>
          <w:color w:val="auto"/>
        </w:rPr>
      </w:pPr>
    </w:p>
    <w:p w14:paraId="1CD270D6" w14:textId="1D058C18" w:rsidR="00186C79" w:rsidRPr="00186C79" w:rsidRDefault="00186C79" w:rsidP="00186C79">
      <w:pPr>
        <w:pStyle w:val="Intro"/>
        <w:rPr>
          <w:color w:val="auto"/>
        </w:rPr>
      </w:pPr>
      <w:r w:rsidRPr="00186C79">
        <w:rPr>
          <w:color w:val="auto"/>
        </w:rPr>
        <w:t>The ARR for year 10 to 12 (ARR 10-12) refers to the Year 12 enrolment expressed as a proportion of the Year 10 enrolment two years earlier.  For example, the calculation of the 20</w:t>
      </w:r>
      <w:r w:rsidR="00F52BC1">
        <w:rPr>
          <w:color w:val="auto"/>
        </w:rPr>
        <w:t>20</w:t>
      </w:r>
      <w:r w:rsidRPr="00186C79">
        <w:rPr>
          <w:color w:val="auto"/>
        </w:rPr>
        <w:t xml:space="preserve"> ARR 10-12 is as follows:</w:t>
      </w:r>
    </w:p>
    <w:p w14:paraId="503F8E18" w14:textId="55EBFD37" w:rsidR="00186C79" w:rsidRPr="00186C79" w:rsidRDefault="00186C79" w:rsidP="00186C79">
      <w:pPr>
        <w:pStyle w:val="Intro"/>
        <w:rPr>
          <w:color w:val="auto"/>
        </w:rPr>
      </w:pPr>
      <w:r w:rsidRPr="00186C79">
        <w:rPr>
          <w:color w:val="auto"/>
        </w:rPr>
        <w:tab/>
      </w:r>
      <w:r w:rsidRPr="00186C79">
        <w:rPr>
          <w:color w:val="auto"/>
        </w:rPr>
        <w:tab/>
      </w:r>
      <w:r w:rsidRPr="00186C79">
        <w:rPr>
          <w:color w:val="auto"/>
        </w:rPr>
        <w:tab/>
      </w:r>
      <w:r>
        <w:rPr>
          <w:color w:val="auto"/>
        </w:rPr>
        <w:t>T</w:t>
      </w:r>
      <w:r w:rsidRPr="00186C79">
        <w:rPr>
          <w:color w:val="auto"/>
        </w:rPr>
        <w:t>otal Year 12 FTE Enrolments in 20</w:t>
      </w:r>
      <w:r w:rsidR="00F52BC1">
        <w:rPr>
          <w:color w:val="auto"/>
        </w:rPr>
        <w:t>20</w:t>
      </w:r>
    </w:p>
    <w:p w14:paraId="313B0C15" w14:textId="0DD89929" w:rsidR="00186C79" w:rsidRPr="00186C79" w:rsidRDefault="00186C79" w:rsidP="00186C79">
      <w:pPr>
        <w:pStyle w:val="Intro"/>
        <w:rPr>
          <w:color w:val="auto"/>
        </w:rPr>
      </w:pPr>
      <w:r w:rsidRPr="00186C79">
        <w:rPr>
          <w:color w:val="auto"/>
        </w:rPr>
        <w:t>ARR 10-12</w:t>
      </w:r>
      <w:r w:rsidRPr="00186C79">
        <w:rPr>
          <w:color w:val="auto"/>
        </w:rPr>
        <w:tab/>
        <w:t>=</w:t>
      </w:r>
      <w:r w:rsidRPr="00186C79">
        <w:rPr>
          <w:color w:val="auto"/>
        </w:rPr>
        <w:tab/>
      </w:r>
      <w:r>
        <w:rPr>
          <w:color w:val="auto"/>
        </w:rPr>
        <w:t>---------------------------------------------------</w:t>
      </w:r>
      <w:r w:rsidRPr="00186C79">
        <w:rPr>
          <w:color w:val="auto"/>
        </w:rPr>
        <w:t xml:space="preserve"> </w:t>
      </w:r>
      <w:r w:rsidRPr="00186C79">
        <w:rPr>
          <w:color w:val="auto"/>
        </w:rPr>
        <w:tab/>
        <w:t>X 100</w:t>
      </w:r>
    </w:p>
    <w:p w14:paraId="414B418B" w14:textId="0868F1E9" w:rsidR="00186C79" w:rsidRPr="00186C79" w:rsidRDefault="00186C79" w:rsidP="00186C79">
      <w:pPr>
        <w:pStyle w:val="Intro"/>
        <w:rPr>
          <w:color w:val="auto"/>
        </w:rPr>
      </w:pPr>
      <w:r w:rsidRPr="00186C79">
        <w:rPr>
          <w:color w:val="auto"/>
        </w:rPr>
        <w:tab/>
      </w:r>
      <w:r w:rsidRPr="00186C79">
        <w:rPr>
          <w:color w:val="auto"/>
        </w:rPr>
        <w:tab/>
      </w:r>
      <w:r w:rsidRPr="00186C79">
        <w:rPr>
          <w:color w:val="auto"/>
        </w:rPr>
        <w:tab/>
        <w:t>Total Year 7 FTE Enrolments in 201</w:t>
      </w:r>
      <w:r w:rsidR="00F52BC1">
        <w:rPr>
          <w:color w:val="auto"/>
        </w:rPr>
        <w:t>8</w:t>
      </w:r>
    </w:p>
    <w:p w14:paraId="7F1E4902" w14:textId="77777777" w:rsidR="00186C79" w:rsidRPr="00186C79" w:rsidRDefault="00186C79" w:rsidP="00186C79">
      <w:pPr>
        <w:pStyle w:val="Intro"/>
        <w:rPr>
          <w:color w:val="auto"/>
        </w:rPr>
      </w:pPr>
    </w:p>
    <w:p w14:paraId="47E3D7EC" w14:textId="56581D65" w:rsidR="00186C79" w:rsidRDefault="00186C79" w:rsidP="00186C79">
      <w:pPr>
        <w:pStyle w:val="Intro"/>
        <w:rPr>
          <w:color w:val="auto"/>
        </w:rPr>
      </w:pPr>
      <w:r w:rsidRPr="00186C79">
        <w:rPr>
          <w:color w:val="auto"/>
        </w:rPr>
        <w:t>The term "apparent" retention rate reflects that retention rates are influenced by factors not taken into account by this measure such as:</w:t>
      </w:r>
    </w:p>
    <w:p w14:paraId="0D6C85E9" w14:textId="7A80C76D" w:rsidR="00186C79" w:rsidRDefault="004A3837" w:rsidP="00186C79">
      <w:pPr>
        <w:pStyle w:val="Intro"/>
        <w:rPr>
          <w:color w:val="auto"/>
        </w:rPr>
      </w:pPr>
      <w:r>
        <w:rPr>
          <w:color w:val="auto"/>
        </w:rPr>
        <w:t xml:space="preserve">- </w:t>
      </w:r>
      <w:r w:rsidR="00186C79">
        <w:rPr>
          <w:color w:val="auto"/>
        </w:rPr>
        <w:t>Student repeating year levels</w:t>
      </w:r>
      <w:r>
        <w:rPr>
          <w:color w:val="auto"/>
        </w:rPr>
        <w:t>.</w:t>
      </w:r>
    </w:p>
    <w:p w14:paraId="45371157" w14:textId="0B5AE2C2" w:rsidR="00186C79" w:rsidRDefault="004A3837" w:rsidP="00186C79">
      <w:pPr>
        <w:pStyle w:val="Intro"/>
        <w:rPr>
          <w:color w:val="auto"/>
        </w:rPr>
      </w:pPr>
      <w:r>
        <w:rPr>
          <w:color w:val="auto"/>
        </w:rPr>
        <w:t xml:space="preserve">- </w:t>
      </w:r>
      <w:r w:rsidR="00186C79">
        <w:rPr>
          <w:color w:val="auto"/>
        </w:rPr>
        <w:t>Interstate</w:t>
      </w:r>
      <w:r>
        <w:rPr>
          <w:color w:val="auto"/>
        </w:rPr>
        <w:t xml:space="preserve"> and overseas migration.</w:t>
      </w:r>
    </w:p>
    <w:p w14:paraId="1EB8FF92" w14:textId="17B7DC7C" w:rsidR="004A3837" w:rsidRDefault="004A3837" w:rsidP="00186C79">
      <w:pPr>
        <w:pStyle w:val="Intro"/>
        <w:rPr>
          <w:color w:val="auto"/>
        </w:rPr>
      </w:pPr>
      <w:r>
        <w:rPr>
          <w:color w:val="auto"/>
        </w:rPr>
        <w:t>- Transfer of students between education sectors or schools.</w:t>
      </w:r>
    </w:p>
    <w:p w14:paraId="7636AFAA" w14:textId="295E8EA4" w:rsidR="004A3837" w:rsidRDefault="004A3837" w:rsidP="00186C79">
      <w:pPr>
        <w:pStyle w:val="Intro"/>
        <w:rPr>
          <w:color w:val="auto"/>
        </w:rPr>
      </w:pPr>
      <w:r>
        <w:rPr>
          <w:color w:val="auto"/>
        </w:rPr>
        <w:t>- Student who have left school previously, returning to continue their school education.</w:t>
      </w:r>
    </w:p>
    <w:p w14:paraId="06BAE6D1" w14:textId="77777777" w:rsidR="004A3837" w:rsidRDefault="004A3837" w:rsidP="00186C79">
      <w:pPr>
        <w:pStyle w:val="Intro"/>
        <w:rPr>
          <w:color w:val="auto"/>
        </w:rPr>
      </w:pPr>
    </w:p>
    <w:p w14:paraId="7DC9D639" w14:textId="2ABF88A4" w:rsidR="00186C79" w:rsidRPr="00186C79" w:rsidRDefault="00186C79" w:rsidP="00186C79">
      <w:pPr>
        <w:pStyle w:val="Intro"/>
        <w:rPr>
          <w:color w:val="auto"/>
        </w:rPr>
      </w:pPr>
      <w:r w:rsidRPr="00186C79">
        <w:rPr>
          <w:color w:val="auto"/>
        </w:rPr>
        <w:t>The Department has found that computing ARR at geographical areas smaller than DET regions (e.g. LGA, Postcode) can produce erratic and misleading results that are difficult to interpret or make use of.  There are influencing factors such as:</w:t>
      </w:r>
    </w:p>
    <w:p w14:paraId="432C37C0" w14:textId="1DF99B44" w:rsidR="00186C79" w:rsidRPr="00186C79" w:rsidRDefault="004A3837" w:rsidP="00186C79">
      <w:pPr>
        <w:pStyle w:val="Intro"/>
        <w:rPr>
          <w:color w:val="auto"/>
        </w:rPr>
      </w:pPr>
      <w:r>
        <w:rPr>
          <w:color w:val="auto"/>
        </w:rPr>
        <w:t xml:space="preserve">•   </w:t>
      </w:r>
      <w:r w:rsidR="00186C79" w:rsidRPr="00186C79">
        <w:rPr>
          <w:color w:val="auto"/>
        </w:rPr>
        <w:t>The movement of secondary school students from one area to another.</w:t>
      </w:r>
      <w:r w:rsidR="00186C79" w:rsidRPr="00186C79">
        <w:rPr>
          <w:color w:val="auto"/>
        </w:rPr>
        <w:tab/>
      </w:r>
    </w:p>
    <w:p w14:paraId="1263A216" w14:textId="79F22B38" w:rsidR="00186C79" w:rsidRPr="00186C79" w:rsidRDefault="00186C79" w:rsidP="00186C79">
      <w:pPr>
        <w:pStyle w:val="Intro"/>
        <w:rPr>
          <w:color w:val="auto"/>
        </w:rPr>
      </w:pPr>
      <w:r w:rsidRPr="00186C79">
        <w:rPr>
          <w:color w:val="auto"/>
        </w:rPr>
        <w:t>•</w:t>
      </w:r>
      <w:r w:rsidR="004A3837">
        <w:rPr>
          <w:color w:val="auto"/>
        </w:rPr>
        <w:t xml:space="preserve">   </w:t>
      </w:r>
      <w:r w:rsidRPr="00186C79">
        <w:rPr>
          <w:color w:val="auto"/>
        </w:rPr>
        <w:t>The level of provision/availability of secondary school education in such areas.</w:t>
      </w:r>
      <w:r w:rsidRPr="00186C79">
        <w:rPr>
          <w:color w:val="auto"/>
        </w:rPr>
        <w:tab/>
      </w:r>
    </w:p>
    <w:p w14:paraId="134DD799" w14:textId="7A41831B" w:rsidR="00186C79" w:rsidRPr="00186C79" w:rsidRDefault="00186C79" w:rsidP="004A3837">
      <w:pPr>
        <w:pStyle w:val="Intro"/>
        <w:ind w:left="426" w:hanging="426"/>
        <w:rPr>
          <w:color w:val="auto"/>
        </w:rPr>
      </w:pPr>
      <w:r w:rsidRPr="00186C79">
        <w:rPr>
          <w:color w:val="auto"/>
        </w:rPr>
        <w:t>•</w:t>
      </w:r>
      <w:r w:rsidR="004A3837">
        <w:rPr>
          <w:color w:val="auto"/>
        </w:rPr>
        <w:t xml:space="preserve">   </w:t>
      </w:r>
      <w:r w:rsidRPr="00186C79">
        <w:rPr>
          <w:color w:val="auto"/>
        </w:rPr>
        <w:t>Smaller enrolment numbers.</w:t>
      </w:r>
      <w:r w:rsidRPr="00186C79">
        <w:rPr>
          <w:color w:val="auto"/>
        </w:rPr>
        <w:tab/>
      </w:r>
      <w:r w:rsidRPr="00186C79">
        <w:rPr>
          <w:color w:val="auto"/>
        </w:rPr>
        <w:tab/>
      </w:r>
      <w:r w:rsidRPr="00186C79">
        <w:rPr>
          <w:color w:val="auto"/>
        </w:rPr>
        <w:tab/>
      </w:r>
      <w:r w:rsidRPr="00186C79">
        <w:rPr>
          <w:color w:val="auto"/>
        </w:rPr>
        <w:tab/>
      </w:r>
      <w:r w:rsidRPr="00186C79">
        <w:rPr>
          <w:color w:val="auto"/>
        </w:rPr>
        <w:tab/>
      </w:r>
      <w:r w:rsidRPr="00186C79">
        <w:rPr>
          <w:color w:val="auto"/>
        </w:rPr>
        <w:tab/>
      </w:r>
    </w:p>
    <w:p w14:paraId="2C54C580" w14:textId="330ED9D5" w:rsidR="00186C79" w:rsidRPr="00186C79" w:rsidRDefault="00186C79" w:rsidP="004A3837">
      <w:pPr>
        <w:pStyle w:val="Intro"/>
        <w:ind w:left="284" w:hanging="284"/>
        <w:rPr>
          <w:color w:val="auto"/>
        </w:rPr>
      </w:pPr>
      <w:r w:rsidRPr="00186C79">
        <w:rPr>
          <w:color w:val="auto"/>
        </w:rPr>
        <w:t>•</w:t>
      </w:r>
      <w:r w:rsidR="004A3837">
        <w:rPr>
          <w:color w:val="auto"/>
        </w:rPr>
        <w:t xml:space="preserve">   </w:t>
      </w:r>
      <w:r w:rsidRPr="00186C79">
        <w:rPr>
          <w:color w:val="auto"/>
        </w:rPr>
        <w:t>The effect of relatively small changes in enrolment numbers which can create large rates and movement in such rates.</w:t>
      </w:r>
      <w:r w:rsidRPr="00186C79">
        <w:rPr>
          <w:color w:val="auto"/>
        </w:rPr>
        <w:tab/>
      </w:r>
      <w:r w:rsidRPr="00186C79">
        <w:rPr>
          <w:color w:val="auto"/>
        </w:rPr>
        <w:tab/>
      </w:r>
      <w:r w:rsidRPr="00186C79">
        <w:rPr>
          <w:color w:val="auto"/>
        </w:rPr>
        <w:tab/>
      </w:r>
      <w:r w:rsidRPr="00186C79">
        <w:rPr>
          <w:color w:val="auto"/>
        </w:rPr>
        <w:tab/>
      </w:r>
      <w:r w:rsidRPr="00186C79">
        <w:rPr>
          <w:color w:val="auto"/>
        </w:rPr>
        <w:tab/>
      </w:r>
    </w:p>
    <w:p w14:paraId="4B298CD3" w14:textId="77777777" w:rsidR="00186C79" w:rsidRPr="00186C79" w:rsidRDefault="00186C79" w:rsidP="00186C79">
      <w:pPr>
        <w:pStyle w:val="Intro"/>
        <w:rPr>
          <w:color w:val="auto"/>
        </w:rPr>
      </w:pPr>
      <w:r w:rsidRPr="00186C79">
        <w:rPr>
          <w:color w:val="auto"/>
        </w:rPr>
        <w:t>The influences of such factors are mitigated at the state-wide and DET region level.</w:t>
      </w:r>
    </w:p>
    <w:p w14:paraId="7E9F30AC" w14:textId="77777777" w:rsidR="007E4A56" w:rsidRDefault="007E4A56" w:rsidP="00186C79">
      <w:pPr>
        <w:pStyle w:val="Intro"/>
        <w:rPr>
          <w:color w:val="auto"/>
        </w:rPr>
      </w:pPr>
    </w:p>
    <w:p w14:paraId="42B931B4" w14:textId="77777777" w:rsidR="007E4A56" w:rsidRDefault="007E4A56" w:rsidP="00186C79">
      <w:pPr>
        <w:pStyle w:val="Intro"/>
        <w:rPr>
          <w:color w:val="auto"/>
        </w:rPr>
      </w:pPr>
    </w:p>
    <w:p w14:paraId="140C65E1" w14:textId="4E4EDE76" w:rsidR="00186C79" w:rsidRPr="00186C79" w:rsidRDefault="00186C79" w:rsidP="00186C79">
      <w:pPr>
        <w:pStyle w:val="Intro"/>
        <w:rPr>
          <w:color w:val="auto"/>
        </w:rPr>
      </w:pPr>
      <w:r w:rsidRPr="00186C79">
        <w:rPr>
          <w:color w:val="auto"/>
        </w:rPr>
        <w:t>The following paragraphs are a representation of how the Australian Bureau of Statistics (ABS) defines the apparent retention rate it calculates for the Schools, Australia collection.  Please note that the ABS calculates apparent retention using the number of full-time school students only whereas at the DET we use the number of full-time equivalent school enrolments.  Data reported in the ABS Schools, Australia collection is based on enrolment data collected in August by all jurisdictions.</w:t>
      </w:r>
    </w:p>
    <w:p w14:paraId="3AAD1971" w14:textId="77777777" w:rsidR="00186C79" w:rsidRPr="00186C79" w:rsidRDefault="00186C79" w:rsidP="00186C79">
      <w:pPr>
        <w:pStyle w:val="Intro"/>
        <w:rPr>
          <w:color w:val="auto"/>
        </w:rPr>
      </w:pPr>
      <w:r w:rsidRPr="00186C79">
        <w:rPr>
          <w:color w:val="auto"/>
        </w:rPr>
        <w:t>Apparent retention rates provide an indicative measure of the number of full-time school students who have stayed in school, as at a designated year and grade of education. It is expressed as a percentage of the respective cohort group that those students would be expected to have come from, assuming an expected rate of progression of one grade per year.</w:t>
      </w:r>
    </w:p>
    <w:p w14:paraId="1DB5E071" w14:textId="77777777" w:rsidR="00186C79" w:rsidRPr="00186C79" w:rsidRDefault="00186C79" w:rsidP="00186C79">
      <w:pPr>
        <w:pStyle w:val="Intro"/>
        <w:rPr>
          <w:color w:val="auto"/>
        </w:rPr>
      </w:pPr>
      <w:r w:rsidRPr="00186C79">
        <w:rPr>
          <w:color w:val="auto"/>
        </w:rPr>
        <w:t>In small populations, relatively small changes in student numbers can create large movements in apparent retention rates. These populations might include smaller jurisdictions, Aboriginal and Torres Strait Islander students, and subcategories of the non-government affiliation.  There are a number of reasons why apparent rates may generate results that differ from actual rates. These reasons include, but are not limited to:</w:t>
      </w:r>
    </w:p>
    <w:p w14:paraId="6570011A" w14:textId="2475F28D" w:rsidR="00186C79" w:rsidRPr="00186C79" w:rsidRDefault="004A3837" w:rsidP="004A3837">
      <w:pPr>
        <w:pStyle w:val="Intro"/>
        <w:ind w:left="284" w:hanging="284"/>
        <w:rPr>
          <w:color w:val="auto"/>
        </w:rPr>
      </w:pPr>
      <w:r>
        <w:rPr>
          <w:color w:val="auto"/>
        </w:rPr>
        <w:t xml:space="preserve">-  </w:t>
      </w:r>
      <w:r w:rsidR="00186C79" w:rsidRPr="00186C79">
        <w:rPr>
          <w:color w:val="auto"/>
        </w:rPr>
        <w:t>Students progressing at a faster or slower than expected rate of one grade a year.</w:t>
      </w:r>
    </w:p>
    <w:p w14:paraId="14E7292D" w14:textId="6DD922C9" w:rsidR="00186C79" w:rsidRPr="00186C79" w:rsidRDefault="004A3837" w:rsidP="004A3837">
      <w:pPr>
        <w:pStyle w:val="Intro"/>
        <w:ind w:left="142" w:hanging="142"/>
        <w:rPr>
          <w:color w:val="auto"/>
        </w:rPr>
      </w:pPr>
      <w:r>
        <w:rPr>
          <w:color w:val="auto"/>
        </w:rPr>
        <w:t>-</w:t>
      </w:r>
      <w:r>
        <w:rPr>
          <w:color w:val="auto"/>
        </w:rPr>
        <w:tab/>
        <w:t xml:space="preserve"> </w:t>
      </w:r>
      <w:r w:rsidR="00186C79" w:rsidRPr="00186C79">
        <w:rPr>
          <w:color w:val="auto"/>
        </w:rPr>
        <w:t>Students changing between full-time or part-time study.</w:t>
      </w:r>
    </w:p>
    <w:p w14:paraId="032357F4" w14:textId="288964E2" w:rsidR="00186C79" w:rsidRPr="00186C79" w:rsidRDefault="004A3837" w:rsidP="00186C79">
      <w:pPr>
        <w:pStyle w:val="Intro"/>
        <w:rPr>
          <w:color w:val="auto"/>
        </w:rPr>
      </w:pPr>
      <w:r>
        <w:rPr>
          <w:color w:val="auto"/>
        </w:rPr>
        <w:t xml:space="preserve">-  </w:t>
      </w:r>
      <w:r w:rsidR="00186C79" w:rsidRPr="00186C79">
        <w:rPr>
          <w:color w:val="auto"/>
        </w:rPr>
        <w:t>Migration (interstate/international).</w:t>
      </w:r>
    </w:p>
    <w:p w14:paraId="7DF1CC61" w14:textId="72BBD627" w:rsidR="00186C79" w:rsidRPr="00186C79" w:rsidRDefault="004A3837" w:rsidP="00186C79">
      <w:pPr>
        <w:pStyle w:val="Intro"/>
        <w:rPr>
          <w:color w:val="auto"/>
        </w:rPr>
      </w:pPr>
      <w:r>
        <w:rPr>
          <w:color w:val="auto"/>
        </w:rPr>
        <w:t xml:space="preserve">-  </w:t>
      </w:r>
      <w:r w:rsidR="00186C79" w:rsidRPr="00186C79">
        <w:rPr>
          <w:color w:val="auto"/>
        </w:rPr>
        <w:t>Inter-sector (affiliation) transfer.</w:t>
      </w:r>
    </w:p>
    <w:p w14:paraId="403AB3E8" w14:textId="7594EF9D" w:rsidR="00186C79" w:rsidRPr="00186C79" w:rsidRDefault="004A3837" w:rsidP="004A3837">
      <w:pPr>
        <w:pStyle w:val="Intro"/>
        <w:ind w:left="284" w:hanging="284"/>
        <w:rPr>
          <w:color w:val="auto"/>
        </w:rPr>
      </w:pPr>
      <w:r>
        <w:rPr>
          <w:color w:val="auto"/>
        </w:rPr>
        <w:t xml:space="preserve">-  </w:t>
      </w:r>
      <w:r w:rsidR="00186C79" w:rsidRPr="00186C79">
        <w:rPr>
          <w:color w:val="auto"/>
        </w:rPr>
        <w:t>Enrolment policies (which contribute to different age/grade structures between states and territories).</w:t>
      </w:r>
    </w:p>
    <w:p w14:paraId="27148FD8" w14:textId="0140ABF2" w:rsidR="00186C79" w:rsidRPr="00186C79" w:rsidRDefault="004A3837" w:rsidP="00186C79">
      <w:pPr>
        <w:pStyle w:val="Intro"/>
        <w:rPr>
          <w:color w:val="auto"/>
        </w:rPr>
      </w:pPr>
      <w:r>
        <w:rPr>
          <w:color w:val="auto"/>
        </w:rPr>
        <w:t xml:space="preserve">-  </w:t>
      </w:r>
      <w:r w:rsidR="00186C79" w:rsidRPr="00186C79">
        <w:rPr>
          <w:color w:val="auto"/>
        </w:rPr>
        <w:t>Students who attend school in a state/territory different to that in which they live.</w:t>
      </w:r>
    </w:p>
    <w:p w14:paraId="5ADF0CA9" w14:textId="32668154" w:rsidR="00186C79" w:rsidRPr="00186C79" w:rsidRDefault="004A3837" w:rsidP="004A3837">
      <w:pPr>
        <w:pStyle w:val="Intro"/>
        <w:ind w:left="284" w:hanging="284"/>
        <w:rPr>
          <w:color w:val="auto"/>
        </w:rPr>
      </w:pPr>
      <w:r>
        <w:rPr>
          <w:color w:val="auto"/>
        </w:rPr>
        <w:t xml:space="preserve">-  </w:t>
      </w:r>
      <w:r w:rsidR="00186C79" w:rsidRPr="00186C79">
        <w:rPr>
          <w:color w:val="auto"/>
        </w:rPr>
        <w:t>A different reference period used in calculating ERP (30 June) verses that used as the reference in the school system (1 August).</w:t>
      </w:r>
    </w:p>
    <w:p w14:paraId="39F59C44" w14:textId="494689E1" w:rsidR="00186C79" w:rsidRPr="00186C79" w:rsidRDefault="004A3837" w:rsidP="004A3837">
      <w:pPr>
        <w:pStyle w:val="Intro"/>
        <w:ind w:left="284" w:hanging="284"/>
        <w:rPr>
          <w:color w:val="auto"/>
        </w:rPr>
      </w:pPr>
      <w:r>
        <w:rPr>
          <w:color w:val="auto"/>
        </w:rPr>
        <w:t xml:space="preserve">-  </w:t>
      </w:r>
      <w:r w:rsidR="00186C79" w:rsidRPr="00186C79">
        <w:rPr>
          <w:color w:val="auto"/>
        </w:rPr>
        <w:t>The children of diplomats, short term international exchange students and possible other anomalies, where students are counted in one statistic (school attendance) but not in another (ERP).</w:t>
      </w:r>
    </w:p>
    <w:p w14:paraId="1E78B39F" w14:textId="790FE03B" w:rsidR="00186C79" w:rsidRPr="00186C79" w:rsidRDefault="004A3837" w:rsidP="00186C79">
      <w:pPr>
        <w:pStyle w:val="Intro"/>
        <w:rPr>
          <w:color w:val="auto"/>
        </w:rPr>
      </w:pPr>
      <w:r>
        <w:rPr>
          <w:color w:val="auto"/>
        </w:rPr>
        <w:t xml:space="preserve">-  </w:t>
      </w:r>
      <w:r w:rsidR="00186C79" w:rsidRPr="00186C79">
        <w:rPr>
          <w:color w:val="auto"/>
        </w:rPr>
        <w:t>Other sources of inconsistency between data sources that may lead to non-sampling error.</w:t>
      </w:r>
    </w:p>
    <w:p w14:paraId="178FA937" w14:textId="77777777" w:rsidR="00186C79" w:rsidRPr="00186C79" w:rsidRDefault="00186C79" w:rsidP="00186C79">
      <w:pPr>
        <w:pStyle w:val="Intro"/>
        <w:rPr>
          <w:color w:val="auto"/>
        </w:rPr>
      </w:pPr>
      <w:r w:rsidRPr="00186C79">
        <w:rPr>
          <w:color w:val="auto"/>
        </w:rPr>
        <w:t>Changes in such factors outlined above may be more noticeable in these populations.</w:t>
      </w:r>
      <w:r w:rsidRPr="00186C79">
        <w:rPr>
          <w:color w:val="auto"/>
        </w:rPr>
        <w:tab/>
      </w:r>
      <w:r w:rsidRPr="00186C79">
        <w:rPr>
          <w:color w:val="auto"/>
        </w:rPr>
        <w:tab/>
      </w:r>
    </w:p>
    <w:p w14:paraId="7D5B5D45" w14:textId="77777777" w:rsidR="00186C79" w:rsidRPr="00186C79" w:rsidRDefault="00186C79" w:rsidP="00186C79">
      <w:pPr>
        <w:pStyle w:val="Intro"/>
        <w:rPr>
          <w:color w:val="auto"/>
        </w:rPr>
      </w:pPr>
    </w:p>
    <w:p w14:paraId="35162C68" w14:textId="77777777" w:rsidR="00186C79" w:rsidRPr="00186C79" w:rsidRDefault="00186C79" w:rsidP="00186C79">
      <w:pPr>
        <w:pStyle w:val="Intro"/>
        <w:rPr>
          <w:color w:val="auto"/>
        </w:rPr>
      </w:pPr>
    </w:p>
    <w:p w14:paraId="4A25EE2E" w14:textId="77777777" w:rsidR="00186C79" w:rsidRPr="00186C79" w:rsidRDefault="00186C79" w:rsidP="00624A55">
      <w:pPr>
        <w:pStyle w:val="Intro"/>
        <w:rPr>
          <w:color w:val="auto"/>
        </w:rPr>
      </w:pPr>
    </w:p>
    <w:sectPr w:rsidR="00186C79" w:rsidRPr="00186C79" w:rsidSect="006E2B9A">
      <w:headerReference w:type="default" r:id="rId11"/>
      <w:footerReference w:type="even" r:id="rId12"/>
      <w:footerReference w:type="default" r:id="rId13"/>
      <w:pgSz w:w="11900" w:h="16840"/>
      <w:pgMar w:top="2155"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9C47B" w14:textId="77777777" w:rsidR="002512BE" w:rsidRDefault="002512BE" w:rsidP="003967DD">
      <w:pPr>
        <w:spacing w:after="0"/>
      </w:pPr>
      <w:r>
        <w:separator/>
      </w:r>
    </w:p>
  </w:endnote>
  <w:endnote w:type="continuationSeparator" w:id="0">
    <w:p w14:paraId="72E27C2D" w14:textId="77777777" w:rsidR="002512BE" w:rsidRDefault="002512BE" w:rsidP="003967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36CB5" w14:textId="77777777" w:rsidR="00A31926" w:rsidRDefault="00A31926" w:rsidP="00195AED">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A12BBCE" w14:textId="77777777" w:rsidR="00A31926" w:rsidRDefault="00A31926" w:rsidP="00A31926">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E0F14" w14:textId="713D73C8" w:rsidR="00A31926" w:rsidRDefault="00A31926" w:rsidP="00195AED">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7E4A56">
      <w:rPr>
        <w:rStyle w:val="PageNumber"/>
        <w:noProof/>
      </w:rPr>
      <w:t>2</w:t>
    </w:r>
    <w:r>
      <w:rPr>
        <w:rStyle w:val="PageNumber"/>
      </w:rPr>
      <w:fldChar w:fldCharType="end"/>
    </w:r>
  </w:p>
  <w:p w14:paraId="0CD3DEB7" w14:textId="77777777" w:rsidR="00A31926" w:rsidRDefault="00A31926" w:rsidP="00A31926">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B7A9B" w14:textId="77777777" w:rsidR="002512BE" w:rsidRDefault="002512BE" w:rsidP="003967DD">
      <w:pPr>
        <w:spacing w:after="0"/>
      </w:pPr>
      <w:r>
        <w:separator/>
      </w:r>
    </w:p>
  </w:footnote>
  <w:footnote w:type="continuationSeparator" w:id="0">
    <w:p w14:paraId="4510D3BF" w14:textId="77777777" w:rsidR="002512BE" w:rsidRDefault="002512BE" w:rsidP="003967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C1E50" w14:textId="569ABF6F" w:rsidR="003967DD" w:rsidRDefault="00080DA9">
    <w:pPr>
      <w:pStyle w:val="Header"/>
    </w:pPr>
    <w:r>
      <w:rPr>
        <w:noProof/>
        <w:lang w:val="en-AU" w:eastAsia="en-AU"/>
      </w:rPr>
      <w:drawing>
        <wp:anchor distT="0" distB="0" distL="114300" distR="114300" simplePos="0" relativeHeight="251658240" behindDoc="1" locked="0" layoutInCell="1" allowOverlap="1" wp14:anchorId="09AEF259" wp14:editId="60FA4713">
          <wp:simplePos x="0" y="0"/>
          <wp:positionH relativeFrom="page">
            <wp:align>left</wp:align>
          </wp:positionH>
          <wp:positionV relativeFrom="page">
            <wp:align>top</wp:align>
          </wp:positionV>
          <wp:extent cx="7556400" cy="10692000"/>
          <wp:effectExtent l="0" t="0" r="635" b="1905"/>
          <wp:wrapNone/>
          <wp:docPr id="1" name="Picture 1" descr="Education State and Department of Education and Training logo - Schools sector" title="Education State and Department of Education and Trai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sheet_Narrow_portrait_schools.png"/>
                  <pic:cNvPicPr/>
                </pic:nvPicPr>
                <pic:blipFill>
                  <a:blip r:embed="rId1">
                    <a:extLst>
                      <a:ext uri="{28A0092B-C50C-407E-A947-70E740481C1C}">
                        <a14:useLocalDpi xmlns:a14="http://schemas.microsoft.com/office/drawing/2010/main" val="0"/>
                      </a:ext>
                    </a:extLst>
                  </a:blip>
                  <a:stretch>
                    <a:fillRect/>
                  </a:stretch>
                </pic:blipFill>
                <pic:spPr>
                  <a:xfrm>
                    <a:off x="0" y="0"/>
                    <a:ext cx="7556400" cy="10692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53EF8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35C4A8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378598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050ED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4FC5E2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846930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534941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220B22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708F4F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FBEA1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AF2C6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BA35373"/>
    <w:multiLevelType w:val="hybridMultilevel"/>
    <w:tmpl w:val="3048A47A"/>
    <w:lvl w:ilvl="0" w:tplc="6AAA64C4">
      <w:start w:val="1"/>
      <w:numFmt w:val="lowerLetter"/>
      <w:pStyle w:val="Alphabetlist"/>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10175F"/>
    <w:multiLevelType w:val="hybridMultilevel"/>
    <w:tmpl w:val="7D22E71E"/>
    <w:lvl w:ilvl="0" w:tplc="A12C862A">
      <w:start w:val="1"/>
      <w:numFmt w:val="decimal"/>
      <w:pStyle w:val="Number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6B7CD3"/>
    <w:multiLevelType w:val="hybridMultilevel"/>
    <w:tmpl w:val="B01E02C6"/>
    <w:lvl w:ilvl="0" w:tplc="093A77C8">
      <w:start w:val="1"/>
      <w:numFmt w:val="bullet"/>
      <w:pStyle w:val="Bullet2"/>
      <w:lvlText w:val="o"/>
      <w:lvlJc w:val="left"/>
      <w:pPr>
        <w:ind w:left="644"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9537A0"/>
    <w:multiLevelType w:val="multilevel"/>
    <w:tmpl w:val="701435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EC3233D"/>
    <w:multiLevelType w:val="multilevel"/>
    <w:tmpl w:val="67B276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1DC0236"/>
    <w:multiLevelType w:val="hybridMultilevel"/>
    <w:tmpl w:val="0A6AD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4B36AF8"/>
    <w:multiLevelType w:val="hybridMultilevel"/>
    <w:tmpl w:val="D1A8A6B2"/>
    <w:lvl w:ilvl="0" w:tplc="9A0C54C0">
      <w:start w:val="1"/>
      <w:numFmt w:val="bullet"/>
      <w:pStyle w:val="Bull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3"/>
  </w:num>
  <w:num w:numId="13">
    <w:abstractNumId w:val="15"/>
  </w:num>
  <w:num w:numId="14">
    <w:abstractNumId w:val="17"/>
  </w:num>
  <w:num w:numId="15">
    <w:abstractNumId w:val="11"/>
  </w:num>
  <w:num w:numId="16">
    <w:abstractNumId w:val="14"/>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7DD"/>
    <w:rsid w:val="00013339"/>
    <w:rsid w:val="000256E2"/>
    <w:rsid w:val="00080DA9"/>
    <w:rsid w:val="000A47D4"/>
    <w:rsid w:val="00122369"/>
    <w:rsid w:val="00150E0F"/>
    <w:rsid w:val="00186C79"/>
    <w:rsid w:val="001D13F9"/>
    <w:rsid w:val="002512BE"/>
    <w:rsid w:val="002A4A96"/>
    <w:rsid w:val="002E3BED"/>
    <w:rsid w:val="002F6115"/>
    <w:rsid w:val="00312720"/>
    <w:rsid w:val="0034745C"/>
    <w:rsid w:val="003967DD"/>
    <w:rsid w:val="004A3837"/>
    <w:rsid w:val="004B2ED6"/>
    <w:rsid w:val="00584366"/>
    <w:rsid w:val="005A4F12"/>
    <w:rsid w:val="00624A55"/>
    <w:rsid w:val="006671CE"/>
    <w:rsid w:val="006A25AC"/>
    <w:rsid w:val="006E2B9A"/>
    <w:rsid w:val="00710CED"/>
    <w:rsid w:val="007B556E"/>
    <w:rsid w:val="007D3E38"/>
    <w:rsid w:val="007E4A56"/>
    <w:rsid w:val="008065DA"/>
    <w:rsid w:val="008B1737"/>
    <w:rsid w:val="00A31926"/>
    <w:rsid w:val="00A710DF"/>
    <w:rsid w:val="00E34263"/>
    <w:rsid w:val="00E5030B"/>
    <w:rsid w:val="00F52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01355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D13F9"/>
    <w:pPr>
      <w:spacing w:after="120"/>
    </w:pPr>
    <w:rPr>
      <w:sz w:val="22"/>
    </w:rPr>
  </w:style>
  <w:style w:type="paragraph" w:styleId="Heading1">
    <w:name w:val="heading 1"/>
    <w:basedOn w:val="Normal"/>
    <w:next w:val="Normal"/>
    <w:link w:val="Heading1Char"/>
    <w:uiPriority w:val="9"/>
    <w:qFormat/>
    <w:rsid w:val="003967DD"/>
    <w:pPr>
      <w:keepNext/>
      <w:keepLines/>
      <w:spacing w:before="240"/>
      <w:outlineLvl w:val="0"/>
    </w:pPr>
    <w:rPr>
      <w:rFonts w:asciiTheme="majorHAnsi" w:eastAsiaTheme="majorEastAsia" w:hAnsiTheme="majorHAnsi" w:cstheme="majorBidi"/>
      <w:b/>
      <w:caps/>
      <w:color w:val="AF272F" w:themeColor="accent1"/>
      <w:sz w:val="44"/>
      <w:szCs w:val="32"/>
    </w:rPr>
  </w:style>
  <w:style w:type="paragraph" w:styleId="Heading2">
    <w:name w:val="heading 2"/>
    <w:basedOn w:val="Normal"/>
    <w:next w:val="Normal"/>
    <w:link w:val="Heading2Char"/>
    <w:uiPriority w:val="9"/>
    <w:unhideWhenUsed/>
    <w:qFormat/>
    <w:rsid w:val="002E3BED"/>
    <w:pPr>
      <w:keepNext/>
      <w:keepLines/>
      <w:spacing w:before="40"/>
      <w:outlineLvl w:val="1"/>
    </w:pPr>
    <w:rPr>
      <w:rFonts w:asciiTheme="majorHAnsi" w:eastAsiaTheme="majorEastAsia" w:hAnsiTheme="majorHAnsi" w:cstheme="majorBidi"/>
      <w:b/>
      <w:caps/>
      <w:color w:val="AF272F" w:themeColor="accent1"/>
      <w:sz w:val="26"/>
      <w:szCs w:val="26"/>
    </w:rPr>
  </w:style>
  <w:style w:type="paragraph" w:styleId="Heading3">
    <w:name w:val="heading 3"/>
    <w:basedOn w:val="Normal"/>
    <w:next w:val="Normal"/>
    <w:link w:val="Heading3Char"/>
    <w:uiPriority w:val="9"/>
    <w:unhideWhenUsed/>
    <w:qFormat/>
    <w:rsid w:val="002E3BED"/>
    <w:pPr>
      <w:keepNext/>
      <w:keepLines/>
      <w:spacing w:before="40"/>
      <w:outlineLvl w:val="2"/>
    </w:pPr>
    <w:rPr>
      <w:rFonts w:asciiTheme="majorHAnsi" w:eastAsiaTheme="majorEastAsia" w:hAnsiTheme="majorHAnsi"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7DD"/>
    <w:pPr>
      <w:tabs>
        <w:tab w:val="center" w:pos="4513"/>
        <w:tab w:val="right" w:pos="9026"/>
      </w:tabs>
    </w:pPr>
  </w:style>
  <w:style w:type="character" w:customStyle="1" w:styleId="HeaderChar">
    <w:name w:val="Header Char"/>
    <w:basedOn w:val="DefaultParagraphFont"/>
    <w:link w:val="Header"/>
    <w:uiPriority w:val="99"/>
    <w:rsid w:val="003967DD"/>
  </w:style>
  <w:style w:type="paragraph" w:styleId="Footer">
    <w:name w:val="footer"/>
    <w:basedOn w:val="Normal"/>
    <w:link w:val="FooterChar"/>
    <w:uiPriority w:val="99"/>
    <w:unhideWhenUsed/>
    <w:rsid w:val="003967DD"/>
    <w:pPr>
      <w:tabs>
        <w:tab w:val="center" w:pos="4513"/>
        <w:tab w:val="right" w:pos="9026"/>
      </w:tabs>
    </w:pPr>
  </w:style>
  <w:style w:type="character" w:customStyle="1" w:styleId="FooterChar">
    <w:name w:val="Footer Char"/>
    <w:basedOn w:val="DefaultParagraphFont"/>
    <w:link w:val="Footer"/>
    <w:uiPriority w:val="99"/>
    <w:rsid w:val="003967DD"/>
  </w:style>
  <w:style w:type="character" w:customStyle="1" w:styleId="Heading1Char">
    <w:name w:val="Heading 1 Char"/>
    <w:basedOn w:val="DefaultParagraphFont"/>
    <w:link w:val="Heading1"/>
    <w:uiPriority w:val="9"/>
    <w:rsid w:val="003967DD"/>
    <w:rPr>
      <w:rFonts w:asciiTheme="majorHAnsi" w:eastAsiaTheme="majorEastAsia" w:hAnsiTheme="majorHAnsi" w:cstheme="majorBidi"/>
      <w:b/>
      <w:caps/>
      <w:color w:val="AF272F" w:themeColor="accent1"/>
      <w:sz w:val="44"/>
      <w:szCs w:val="32"/>
    </w:rPr>
  </w:style>
  <w:style w:type="paragraph" w:customStyle="1" w:styleId="Intro">
    <w:name w:val="Intro"/>
    <w:basedOn w:val="Normal"/>
    <w:qFormat/>
    <w:rsid w:val="00624A55"/>
    <w:pPr>
      <w:pBdr>
        <w:top w:val="single" w:sz="4" w:space="1" w:color="AF272F" w:themeColor="accent1"/>
      </w:pBdr>
    </w:pPr>
    <w:rPr>
      <w:color w:val="AF272F" w:themeColor="accent1"/>
      <w:lang w:val="en-AU"/>
    </w:rPr>
  </w:style>
  <w:style w:type="character" w:customStyle="1" w:styleId="Heading2Char">
    <w:name w:val="Heading 2 Char"/>
    <w:basedOn w:val="DefaultParagraphFont"/>
    <w:link w:val="Heading2"/>
    <w:uiPriority w:val="9"/>
    <w:rsid w:val="002E3BED"/>
    <w:rPr>
      <w:rFonts w:asciiTheme="majorHAnsi" w:eastAsiaTheme="majorEastAsia" w:hAnsiTheme="majorHAnsi" w:cstheme="majorBidi"/>
      <w:b/>
      <w:caps/>
      <w:color w:val="AF272F" w:themeColor="accent1"/>
      <w:sz w:val="26"/>
      <w:szCs w:val="26"/>
    </w:rPr>
  </w:style>
  <w:style w:type="character" w:customStyle="1" w:styleId="Heading3Char">
    <w:name w:val="Heading 3 Char"/>
    <w:basedOn w:val="DefaultParagraphFont"/>
    <w:link w:val="Heading3"/>
    <w:uiPriority w:val="9"/>
    <w:rsid w:val="002E3BED"/>
    <w:rPr>
      <w:rFonts w:asciiTheme="majorHAnsi" w:eastAsiaTheme="majorEastAsia" w:hAnsiTheme="majorHAnsi" w:cstheme="majorBidi"/>
      <w:b/>
      <w:color w:val="000000" w:themeColor="text1"/>
    </w:rPr>
  </w:style>
  <w:style w:type="paragraph" w:styleId="Quote">
    <w:name w:val="Quote"/>
    <w:basedOn w:val="Normal"/>
    <w:next w:val="Normal"/>
    <w:link w:val="QuoteChar"/>
    <w:uiPriority w:val="29"/>
    <w:qFormat/>
    <w:rsid w:val="002E3BED"/>
    <w:pPr>
      <w:spacing w:before="120"/>
      <w:ind w:left="284" w:right="284"/>
    </w:pPr>
    <w:rPr>
      <w:i/>
      <w:iCs/>
      <w:color w:val="53565A" w:themeColor="text2"/>
    </w:rPr>
  </w:style>
  <w:style w:type="character" w:customStyle="1" w:styleId="QuoteChar">
    <w:name w:val="Quote Char"/>
    <w:basedOn w:val="DefaultParagraphFont"/>
    <w:link w:val="Quote"/>
    <w:uiPriority w:val="29"/>
    <w:rsid w:val="002E3BED"/>
    <w:rPr>
      <w:i/>
      <w:iCs/>
      <w:color w:val="53565A" w:themeColor="text2"/>
    </w:rPr>
  </w:style>
  <w:style w:type="paragraph" w:customStyle="1" w:styleId="Bullet1">
    <w:name w:val="Bullet 1"/>
    <w:basedOn w:val="Normal"/>
    <w:next w:val="Normal"/>
    <w:qFormat/>
    <w:rsid w:val="002E3BED"/>
    <w:pPr>
      <w:numPr>
        <w:numId w:val="14"/>
      </w:numPr>
      <w:ind w:left="284" w:hanging="284"/>
    </w:pPr>
    <w:rPr>
      <w:lang w:val="en-AU"/>
    </w:rPr>
  </w:style>
  <w:style w:type="paragraph" w:customStyle="1" w:styleId="Bullet2">
    <w:name w:val="Bullet 2"/>
    <w:basedOn w:val="Bullet1"/>
    <w:qFormat/>
    <w:rsid w:val="002E3BED"/>
    <w:pPr>
      <w:numPr>
        <w:numId w:val="12"/>
      </w:numPr>
    </w:pPr>
  </w:style>
  <w:style w:type="paragraph" w:customStyle="1" w:styleId="Numberlist">
    <w:name w:val="Number list"/>
    <w:basedOn w:val="Normal"/>
    <w:next w:val="Normal"/>
    <w:qFormat/>
    <w:rsid w:val="008B1737"/>
    <w:pPr>
      <w:numPr>
        <w:numId w:val="17"/>
      </w:numPr>
      <w:ind w:left="284" w:hanging="284"/>
    </w:pPr>
    <w:rPr>
      <w:lang w:val="en-AU"/>
    </w:rPr>
  </w:style>
  <w:style w:type="table" w:styleId="TableGrid">
    <w:name w:val="Table Grid"/>
    <w:basedOn w:val="TableNormal"/>
    <w:uiPriority w:val="39"/>
    <w:rsid w:val="007B556E"/>
    <w:rPr>
      <w:sz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Mar>
        <w:top w:w="57" w:type="dxa"/>
        <w:bottom w:w="57" w:type="dxa"/>
      </w:tcMar>
    </w:tcPr>
    <w:tblStylePr w:type="firstRow">
      <w:rPr>
        <w:b/>
        <w:color w:val="FFFFFF" w:themeColor="background1"/>
      </w:rPr>
      <w:tblPr/>
      <w:tcPr>
        <w:tcBorders>
          <w:insideH w:val="single" w:sz="4" w:space="0" w:color="FFFFFF" w:themeColor="background1"/>
          <w:insideV w:val="single" w:sz="4" w:space="0" w:color="FFFFFF" w:themeColor="background1"/>
        </w:tcBorders>
        <w:shd w:val="clear" w:color="auto" w:fill="AF272F" w:themeFill="accent1"/>
      </w:tcPr>
    </w:tblStylePr>
    <w:tblStylePr w:type="firstCol">
      <w:rPr>
        <w:color w:val="AF272F" w:themeColor="accent1"/>
      </w:rPr>
    </w:tblStylePr>
  </w:style>
  <w:style w:type="paragraph" w:customStyle="1" w:styleId="TableHead">
    <w:name w:val="Table Head"/>
    <w:basedOn w:val="Normal"/>
    <w:qFormat/>
    <w:rsid w:val="00122369"/>
    <w:rPr>
      <w:b/>
      <w:color w:val="FFFFFF" w:themeColor="background1"/>
      <w:lang w:val="en-AU"/>
    </w:rPr>
  </w:style>
  <w:style w:type="paragraph" w:customStyle="1" w:styleId="Tablebody">
    <w:name w:val="Table body"/>
    <w:basedOn w:val="Normal"/>
    <w:qFormat/>
    <w:rsid w:val="00A31926"/>
    <w:pPr>
      <w:spacing w:before="60" w:after="60"/>
    </w:pPr>
    <w:rPr>
      <w:lang w:val="en-AU"/>
    </w:rPr>
  </w:style>
  <w:style w:type="character" w:styleId="PageNumber">
    <w:name w:val="page number"/>
    <w:basedOn w:val="DefaultParagraphFont"/>
    <w:uiPriority w:val="99"/>
    <w:semiHidden/>
    <w:unhideWhenUsed/>
    <w:rsid w:val="00A31926"/>
  </w:style>
  <w:style w:type="paragraph" w:customStyle="1" w:styleId="Alphabetlist">
    <w:name w:val="Alphabet list"/>
    <w:basedOn w:val="Numberlist"/>
    <w:qFormat/>
    <w:rsid w:val="008B1737"/>
    <w:pPr>
      <w:numPr>
        <w:numId w:val="15"/>
      </w:numPr>
      <w:ind w:left="568"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14" Type="http://schemas.openxmlformats.org/officeDocument/2006/relationships/fontTable" Target="fontTable.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dustate">
      <a:dk1>
        <a:srgbClr val="000000"/>
      </a:dk1>
      <a:lt1>
        <a:srgbClr val="FFFFFF"/>
      </a:lt1>
      <a:dk2>
        <a:srgbClr val="53565A"/>
      </a:dk2>
      <a:lt2>
        <a:srgbClr val="D9D9D6"/>
      </a:lt2>
      <a:accent1>
        <a:srgbClr val="AF272F"/>
      </a:accent1>
      <a:accent2>
        <a:srgbClr val="BC95C8"/>
      </a:accent2>
      <a:accent3>
        <a:srgbClr val="F6BE00"/>
      </a:accent3>
      <a:accent4>
        <a:srgbClr val="00B7BD"/>
      </a:accent4>
      <a:accent5>
        <a:srgbClr val="004EA8"/>
      </a:accent5>
      <a:accent6>
        <a:srgbClr val="201547"/>
      </a:accent6>
      <a:hlink>
        <a:srgbClr val="004EA8"/>
      </a:hlink>
      <a:folHlink>
        <a:srgbClr val="87189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76b566cd-adb9-46c2-964b-22eba181fd0b" xsi:nil="true"/>
    <DEECD_Publisher xmlns="http://schemas.microsoft.com/sharepoint/v3">Department of Education and Training</DEECD_Publisher>
    <a319977fc8504e09982f090ae1d7c602 xmlns="76b566cd-adb9-46c2-964b-22eba181fd0b">
      <Terms xmlns="http://schemas.microsoft.com/office/infopath/2007/PartnerControls">
        <TermInfo xmlns="http://schemas.microsoft.com/office/infopath/2007/PartnerControls">
          <TermName xmlns="http://schemas.microsoft.com/office/infopath/2007/PartnerControls">Page</TermName>
          <TermId xmlns="http://schemas.microsoft.com/office/infopath/2007/PartnerControls">eb523acf-a821-456c-a76b-7607578309d7</TermId>
        </TermInfo>
      </Terms>
    </a319977fc8504e09982f090ae1d7c602>
    <TaxCatchAll xmlns="cb9114c1-daad-44dd-acad-30f4246641f2">
      <Value>101</Value>
      <Value>94</Value>
    </TaxCatchAll>
    <DEECD_Expired xmlns="http://schemas.microsoft.com/sharepoint/v3">false</DEECD_Expired>
    <DEECD_Keywords xmlns="http://schemas.microsoft.com/sharepoint/v3" xsi:nil="true"/>
    <DEECD_Description xmlns="http://schemas.microsoft.com/sharepoint/v3">about apparent retention rates</DEECD_Description>
    <b1688cb4a3a940449dc8286705012a42 xmlns="76b566cd-adb9-46c2-964b-22eba181fd0b">
      <Terms xmlns="http://schemas.microsoft.com/office/infopath/2007/PartnerControls"/>
    </b1688cb4a3a940449dc8286705012a42>
    <ofbb8b9a280a423a91cf717fb81349cd xmlns="76b566cd-adb9-46c2-964b-22eba181fd0b">
      <Terms xmlns="http://schemas.microsoft.com/office/infopath/2007/PartnerControls">
        <TermInfo xmlns="http://schemas.microsoft.com/office/infopath/2007/PartnerControls">
          <TermName xmlns="http://schemas.microsoft.com/office/infopath/2007/PartnerControls">Education</TermName>
          <TermId xmlns="http://schemas.microsoft.com/office/infopath/2007/PartnerControls">5232e41c-5101-41fe-b638-7d41d1371531</TermId>
        </TermInfo>
      </Terms>
    </ofbb8b9a280a423a91cf717fb81349cd>
    <pfad5814e62747ed9f131defefc62dac xmlns="76b566cd-adb9-46c2-964b-22eba181fd0b">
      <Terms xmlns="http://schemas.microsoft.com/office/infopath/2007/PartnerControls"/>
    </pfad5814e62747ed9f131defefc62da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A01D47DD30CBB54F95863B7DC80A2CEC" ma:contentTypeVersion="7" ma:contentTypeDescription="WebCM Documents Content Type" ma:contentTypeScope="" ma:versionID="2445d155e79af3f8de50d6e6a41d98b0">
  <xsd:schema xmlns:xsd="http://www.w3.org/2001/XMLSchema" xmlns:xs="http://www.w3.org/2001/XMLSchema" xmlns:p="http://schemas.microsoft.com/office/2006/metadata/properties" xmlns:ns1="http://schemas.microsoft.com/sharepoint/v3" xmlns:ns2="76b566cd-adb9-46c2-964b-22eba181fd0b" xmlns:ns3="cb9114c1-daad-44dd-acad-30f4246641f2" targetNamespace="http://schemas.microsoft.com/office/2006/metadata/properties" ma:root="true" ma:fieldsID="df1fa0b351c270b0bd4fc58157dcf1ab" ns1:_="" ns2:_="" ns3:_="">
    <xsd:import namespace="http://schemas.microsoft.com/sharepoint/v3"/>
    <xsd:import namespace="76b566cd-adb9-46c2-964b-22eba181fd0b"/>
    <xsd:import namespace="cb9114c1-daad-44dd-acad-30f4246641f2"/>
    <xsd:element name="properties">
      <xsd:complexType>
        <xsd:sequence>
          <xsd:element name="documentManagement">
            <xsd:complexType>
              <xsd:all>
                <xsd:element ref="ns1:DEECD_Description"/>
                <xsd:element ref="ns1:DEECD_Publisher" minOccurs="0"/>
                <xsd:element ref="ns1:DEECD_Keywords" minOccurs="0"/>
                <xsd:element ref="ns1:DEECD_Expired" minOccurs="0"/>
                <xsd:element ref="ns2:PublishingStartDate" minOccurs="0"/>
                <xsd:element ref="ns1:PublishingExpirationDate" minOccurs="0"/>
                <xsd:element ref="ns3:TaxCatchAll" minOccurs="0"/>
                <xsd:element ref="ns2:pfad5814e62747ed9f131defefc62dac" minOccurs="0"/>
                <xsd:element ref="ns2:a319977fc8504e09982f090ae1d7c602" minOccurs="0"/>
                <xsd:element ref="ns2:ofbb8b9a280a423a91cf717fb81349cd" minOccurs="0"/>
                <xsd:element ref="ns2:b1688cb4a3a940449dc8286705012a4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2" ma:displayName="Description" ma:internalName="DEECD_Description">
      <xsd:simpleType>
        <xsd:restriction base="dms:Note">
          <xsd:maxLength value="255"/>
        </xsd:restriction>
      </xsd:simpleType>
    </xsd:element>
    <xsd:element name="DEECD_Publisher" ma:index="3" nillable="true" ma:displayName="Publisher" ma:default="Department of Education and Training" ma:internalName="DEECD_Publisher">
      <xsd:simpleType>
        <xsd:restriction base="dms:Text">
          <xsd:maxLength value="255"/>
        </xsd:restriction>
      </xsd:simpleType>
    </xsd:element>
    <xsd:element name="DEECD_Keywords" ma:index="7" nillable="true" ma:displayName="Keywords" ma:internalName="DEECD_Keywords">
      <xsd:simpleType>
        <xsd:restriction base="dms:Note">
          <xsd:maxLength value="255"/>
        </xsd:restriction>
      </xsd:simpleType>
    </xsd:element>
    <xsd:element name="DEECD_Expired" ma:index="8" nillable="true" ma:displayName="Expired" ma:default="0" ma:internalName="DEECD_Expired">
      <xsd:simpleType>
        <xsd:restriction base="dms:Boolean"/>
      </xsd:simpleType>
    </xsd:element>
    <xsd:element name="PublishingExpirationDate" ma:index="10"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b566cd-adb9-46c2-964b-22eba181fd0b" elementFormDefault="qualified">
    <xsd:import namespace="http://schemas.microsoft.com/office/2006/documentManagement/types"/>
    <xsd:import namespace="http://schemas.microsoft.com/office/infopath/2007/PartnerControls"/>
    <xsd:element name="PublishingStartDate" ma:index="9" nillable="true" ma:displayName="Scheduling Start Date" ma:internalName="PublishingStartDate">
      <xsd:simpleType>
        <xsd:restriction base="dms:Unknown"/>
      </xsd:simpleType>
    </xsd:element>
    <xsd:element name="pfad5814e62747ed9f131defefc62dac" ma:index="19" nillable="true" ma:taxonomy="true" ma:internalName="pfad5814e62747ed9f131defefc62dac" ma:taxonomyFieldName="DEECD_SubjectCategory" ma:displayName="Subject Category" ma:readOnly="false"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20" nillable="true" ma:taxonomy="true" ma:internalName="a319977fc8504e09982f090ae1d7c602" ma:taxonomyFieldName="DEECD_ItemType" ma:displayName="Item Type" ma:default="101;#Page|eb523acf-a821-456c-a76b-7607578309d7"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1" nillable="true" ma:taxonomy="true" ma:internalName="ofbb8b9a280a423a91cf717fb81349cd" ma:taxonomyFieldName="DEECD_Author" ma:displayName="Author" ma:default="94;#Education|5232e41c-5101-41fe-b638-7d41d1371531"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2"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b9114c1-daad-44dd-acad-30f4246641f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7017a8d-dd8f-40f0-bbcf-d0d7f718f6eb}" ma:internalName="TaxCatchAll" ma:showField="CatchAllData" ma:web="cb9114c1-daad-44dd-acad-30f4246641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635078151241466585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635078151241466585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635078151241466585</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635078151241466585</Data>
    <Filter/>
  </Receiver>
</spe:Receivers>
</file>

<file path=customXml/itemProps1.xml><?xml version="1.0" encoding="utf-8"?>
<ds:datastoreItem xmlns:ds="http://schemas.openxmlformats.org/officeDocument/2006/customXml" ds:itemID="{ABEA1E46-B88C-48DC-B472-6A79F16F58DD}">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1F840B60-61E7-4040-B247-95C5FCF33E02}">
  <ds:schemaRefs>
    <ds:schemaRef ds:uri="http://schemas.microsoft.com/sharepoint/v3/contenttype/forms"/>
  </ds:schemaRefs>
</ds:datastoreItem>
</file>

<file path=customXml/itemProps3.xml><?xml version="1.0" encoding="utf-8"?>
<ds:datastoreItem xmlns:ds="http://schemas.openxmlformats.org/officeDocument/2006/customXml" ds:itemID="{66A02075-DE63-4EA5-A361-8A82C1B54D42}"/>
</file>

<file path=customXml/itemProps4.xml><?xml version="1.0" encoding="utf-8"?>
<ds:datastoreItem xmlns:ds="http://schemas.openxmlformats.org/officeDocument/2006/customXml" ds:itemID="{49CF8DC0-9111-435D-B3E2-39662859077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Lim</dc:creator>
  <cp:keywords/>
  <dc:description/>
  <cp:lastModifiedBy>Parzinkas, Frank T</cp:lastModifiedBy>
  <cp:revision>4</cp:revision>
  <dcterms:created xsi:type="dcterms:W3CDTF">2018-07-11T04:15:00Z</dcterms:created>
  <dcterms:modified xsi:type="dcterms:W3CDTF">2020-07-02T05:08:00Z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0x0101008840106FE30D4F50BC61A726A7CA6E3800A01D47DD30CBB54F95863B7DC80A2CEC</vt:lpwstr>
  </property>
  <property fmtid="{D5CDD505-2E9C-101B-9397-08002B2CF9AE}" pid="3" name="DEECD_Author">
    <vt:lpwstr>94;#Education|5232e41c-5101-41fe-b638-7d41d1371531</vt:lpwstr>
  </property>
  <property fmtid="{D5CDD505-2E9C-101B-9397-08002B2CF9AE}" pid="4" name="DEECD_SubjectCategory">
    <vt:lpwstr/>
  </property>
  <property fmtid="{D5CDD505-2E9C-101B-9397-08002B2CF9AE}" pid="5" name="DEECD_ItemType">
    <vt:lpwstr>101;#Page|eb523acf-a821-456c-a76b-7607578309d7</vt:lpwstr>
  </property>
  <property fmtid="{D5CDD505-2E9C-101B-9397-08002B2CF9AE}" pid="6" name="DEECD_Audience">
    <vt:lpwstr/>
  </property>
</Properties>
</file>