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BIBLIOGRAPHY</w:t>
      </w:r>
    </w:p>
    <w:p/>
    <w:p>
      <w:pPr>
        <w:pStyle w:val="ListParagraph"/>
        <w:numPr>
          <w:ilvl w:val="0"/>
          <w:numId w:val="2"/>
        </w:numPr>
      </w:pPr>
      <w:r>
        <w:t xml:space="preserve">Singer M, Deutschman CS, Seymour CW, Shankar-Hari M, Annane D, Bauer M, et al. The Third International Consensus Definitions for Sepsis and Septic Shock (Sepsis-3). JAMA. 2016;315(8):801-10.</w:t>
      </w:r>
    </w:p>
    <w:p>
      <w:pPr>
        <w:pStyle w:val="ListParagraph"/>
        <w:numPr>
          <w:ilvl w:val="0"/>
          <w:numId w:val="2"/>
        </w:numPr>
      </w:pPr>
      <w:r>
        <w:t xml:space="preserve">Shankar-Hari M, Phillips GS, Levy ML, Seymour CW, Liu VX, Deutschman CS, et al. Developing a New Definition and Assessing New Clinical Criteria for Septic Shock: For the Third International Consensus Definitions for Sepsis and Septic Shock (Sepsis-3). JAMA. 2016;315(8):775-87.</w:t>
      </w:r>
    </w:p>
    <w:p>
      <w:pPr>
        <w:pStyle w:val="ListParagraph"/>
        <w:numPr>
          <w:ilvl w:val="0"/>
          <w:numId w:val="2"/>
        </w:numPr>
      </w:pPr>
      <w:r>
        <w:t xml:space="preserve">Seymour CW, Liu VX, Iwashyna TJ, Brunkhorst FM, Rea TD, Scherag A, et al. Assessment of Clinical Criteria for Sepsis: For the Third International Consensus Definitions for Sepsis and Septic Shock (Sepsis-3). JAMA. 2016;315(8):762-74.</w:t>
      </w:r>
    </w:p>
    <w:p>
      <w:pPr>
        <w:pStyle w:val="ListParagraph"/>
        <w:numPr>
          <w:ilvl w:val="0"/>
          <w:numId w:val="2"/>
        </w:numPr>
      </w:pPr>
      <w:r>
        <w:t xml:space="preserve">Evans L, Rhodes A, Alhazzani W, Antonelli M, Coopersmith CM, French C, et al. Surviving Sepsis Campaign: International Guidelines for Management of Sepsis and Septic Shock 2021. Intensive Care Med. 2021;47(11):1181-247.</w:t>
      </w:r>
    </w:p>
    <w:p>
      <w:pPr>
        <w:pStyle w:val="ListParagraph"/>
        <w:numPr>
          <w:ilvl w:val="0"/>
          <w:numId w:val="2"/>
        </w:numPr>
      </w:pPr>
      <w:r>
        <w:t xml:space="preserve">Evans L, Rhodes A, Alhazzani W, Antonelli M, Coopersmith CM, French C, et al. Executive Summary: Surviving Sepsis Campaign: International Guidelines for the Management of Sepsis and Septic Shock 2021. Crit Care Med. 2021;49(11):1974-82.</w:t>
      </w:r>
    </w:p>
    <w:p>
      <w:pPr>
        <w:pStyle w:val="ListParagraph"/>
        <w:numPr>
          <w:ilvl w:val="0"/>
          <w:numId w:val="2"/>
        </w:numPr>
      </w:pPr>
      <w:r>
        <w:t xml:space="preserve">Asfar P, Meziani F, Hamel JF, Grelon F, Megarbane B, Anguel N, et al. High versus Low Blood-Pressure Target in Patients with Septic Shock. N Engl J Med. 2014;370(17):1583-93.</w:t>
      </w:r>
    </w:p>
    <w:p>
      <w:pPr>
        <w:pStyle w:val="ListParagraph"/>
        <w:numPr>
          <w:ilvl w:val="0"/>
          <w:numId w:val="2"/>
        </w:numPr>
      </w:pPr>
      <w:r>
        <w:t xml:space="preserve">Lamontagne F, Richards-Belle A, Thomas K, Harrison DA, Sadique MZ, Grieve RD, et al. Effect of Reduced Exposure to Vasopressors on 90-Day Mortality in Older Critically Ill Patients With Vasodilatory Hypotension: A Randomized Clinical Trial. JAMA. 2020;323(10):938-49.</w:t>
      </w:r>
    </w:p>
    <w:p>
      <w:pPr>
        <w:pStyle w:val="ListParagraph"/>
        <w:numPr>
          <w:ilvl w:val="0"/>
          <w:numId w:val="2"/>
        </w:numPr>
      </w:pPr>
      <w:r>
        <w:t xml:space="preserve">Mouncey PR, Richards-Belle A, Thomas K, Harrison DA, Sadique MZ, Grieve RD, et al. Reduced Exposure to Vasopressors Through Permissive Hypotension to Reduce Mortality in Critically Ill People Aged 65 and Over: The 65 RCT. Health Technol Assess. 2021;25(14):1-90.</w:t>
      </w:r>
    </w:p>
    <w:p>
      <w:pPr>
        <w:pStyle w:val="ListParagraph"/>
        <w:numPr>
          <w:ilvl w:val="0"/>
          <w:numId w:val="2"/>
        </w:numPr>
      </w:pPr>
      <w:r>
        <w:t xml:space="preserve">Semler MW, Self WH, Wanderer JP, Ehrenfeld JM, Wang L, Byrne DW, et al. Balanced Crystalloids versus Saline in Critically Ill Adults. N Engl J Med. 2018;378(9):829-39.</w:t>
      </w:r>
    </w:p>
    <w:p>
      <w:pPr>
        <w:pStyle w:val="ListParagraph"/>
        <w:numPr>
          <w:ilvl w:val="0"/>
          <w:numId w:val="2"/>
        </w:numPr>
      </w:pPr>
      <w:r>
        <w:t xml:space="preserve">Brown RM, Wang L, Coston TD, Krishnan NI, Casey JD, Wanderer JP, et al. Balanced Crystalloids versus Saline in Sepsis. A Secondary Analysis of the SMART Clinical Trial. Am J Respir Crit Care Med. 2019;200(12):1487-95.</w:t>
      </w:r>
    </w:p>
    <w:p>
      <w:pPr>
        <w:pStyle w:val="ListParagraph"/>
        <w:numPr>
          <w:ilvl w:val="0"/>
          <w:numId w:val="2"/>
        </w:numPr>
      </w:pPr>
      <w:r>
        <w:t xml:space="preserve">Bone RC, Balk RA, Cerra FB, Dellinger RP, Fein AM, Knaus WA, et al. Definitions for Sepsis and Organ Failure and Guidelines for the Use of Innovative Therapies in Sepsis. The ACCP/SCCM Consensus Conference Committee. American College of Chest Physicians/Society of Critical Care Medicine. Chest. 1992;101(6):1644-55.</w:t>
      </w:r>
    </w:p>
    <w:p>
      <w:pPr>
        <w:pStyle w:val="ListParagraph"/>
        <w:numPr>
          <w:ilvl w:val="0"/>
          <w:numId w:val="2"/>
        </w:numPr>
      </w:pPr>
      <w:r>
        <w:t xml:space="preserve">Levy MM, Fink MP, Marshall JC, Abraham E, Angus D, Cook D, et al. 2001 SCCM/ESICM/ACCP/ATS/SIS International Sepsis Definitions Conference. Crit Care Med. 2003;31(4):1250-6.</w:t>
      </w:r>
    </w:p>
    <w:p>
      <w:pPr>
        <w:pStyle w:val="ListParagraph"/>
        <w:numPr>
          <w:ilvl w:val="0"/>
          <w:numId w:val="2"/>
        </w:numPr>
      </w:pPr>
      <w:r>
        <w:t xml:space="preserve">Vincent JL, Moreno R, Takala J, Willatts S, De Mendonça A, Bruining H, et al. The SOFA (Sepsis-related Organ Failure Assessment) Score to Describe Organ Dysfunction/Failure. On behalf of the Working Group on Sepsis-Related Problems of the European Society of Intensive Care Medicine. Intensive Care Med. 1996;22(7):707-10.</w:t>
      </w:r>
    </w:p>
    <w:p>
      <w:pPr>
        <w:pStyle w:val="ListParagraph"/>
        <w:numPr>
          <w:ilvl w:val="0"/>
          <w:numId w:val="2"/>
        </w:numPr>
      </w:pPr>
      <w:r>
        <w:t xml:space="preserve">Smith GB, Prytherch DR, Meredith P, Schmidt PE, Featherstone PI. The Ability of the National Early Warning Score (NEWS) to Discriminate Patients at Risk of Early Cardiac Arrest, Unanticipated Intensive Care Unit Admission, and Death. Resuscitation. 2013;84(4):465-70.</w:t>
      </w:r>
    </w:p>
    <w:p>
      <w:pPr>
        <w:pStyle w:val="ListParagraph"/>
        <w:numPr>
          <w:ilvl w:val="0"/>
          <w:numId w:val="2"/>
        </w:numPr>
      </w:pPr>
      <w:r>
        <w:t xml:space="preserve">Rola P, Miralles-Aguiar F, Argaiz E, Beaubien-Souligny W, Haycock K, Karimov T, et al. Clinical Applications of the Venous Excess Ultrasound (VExUS) Score: Conceptual Review and Case Series. Ultrasound J. 2021;13(1):32.</w:t>
      </w:r>
    </w:p>
    <w:p>
      <w:pPr>
        <w:pStyle w:val="ListParagraph"/>
        <w:numPr>
          <w:ilvl w:val="0"/>
          <w:numId w:val="2"/>
        </w:numPr>
      </w:pPr>
      <w:r>
        <w:t xml:space="preserve">Prescott HC, Ostermann M. What is New and Different in the 2021 Surviving Sepsis Campaign Guidelines. Internist (Berl). 2023;64(6):561-8.</w:t>
      </w:r>
    </w:p>
    <w:p>
      <w:pPr>
        <w:pStyle w:val="ListParagraph"/>
        <w:numPr>
          <w:ilvl w:val="0"/>
          <w:numId w:val="2"/>
        </w:numPr>
      </w:pPr>
      <w:r>
        <w:t xml:space="preserve">Seymour CW, Kennedy JN, Wang S, Chang CH, Elliott CF, Xu Z, et al. Derivation, Validation, and Potential Treatment Implications of Novel Clinical Phenotypes for Sepsis. JAMA. 2019;321(20):2003-17.</w:t>
      </w:r>
    </w:p>
    <w:p>
      <w:pPr>
        <w:pStyle w:val="ListParagraph"/>
        <w:numPr>
          <w:ilvl w:val="0"/>
          <w:numId w:val="2"/>
        </w:numPr>
      </w:pPr>
      <w:r>
        <w:t xml:space="preserve">Rivers E, Nguyen B, Havstad S, Ressler J, Muzzin A, Knoblich B, et al. Early Goal-Directed Therapy in the Treatment of Severe Sepsis and Septic Shock. N Engl J Med. 2001;345(19):1368-77.</w:t>
      </w:r>
    </w:p>
    <w:p>
      <w:pPr>
        <w:pStyle w:val="ListParagraph"/>
        <w:numPr>
          <w:ilvl w:val="0"/>
          <w:numId w:val="2"/>
        </w:numPr>
      </w:pPr>
      <w:r>
        <w:t xml:space="preserve">Dellinger RP, Levy MM, Rhodes A, Annane D, Gerlach H, Opal SM, et al. Surviving Sepsis Campaign: International Guidelines for Management of Severe Sepsis and Septic Shock: 2012. Crit Care Med. 2013;41(2):580-637.</w:t>
      </w:r>
    </w:p>
    <w:p>
      <w:pPr>
        <w:pStyle w:val="ListParagraph"/>
        <w:numPr>
          <w:ilvl w:val="0"/>
          <w:numId w:val="2"/>
        </w:numPr>
      </w:pPr>
      <w:r>
        <w:t xml:space="preserve">Rhodes A, Evans LE, Alhazzani W, Levy MM, Antonelli M, Ferrer R, et al. Surviving Sepsis Campaign: International Guidelines for Management of Sepsis and Septic Shock: 2016. Intensive Care Med. 2017;43(3):304-77.</w:t>
      </w:r>
    </w:p>
    <w:p>
      <w:pPr>
        <w:pStyle w:val="ListParagraph"/>
        <w:numPr>
          <w:ilvl w:val="0"/>
          <w:numId w:val="2"/>
        </w:numPr>
      </w:pPr>
      <w:r>
        <w:t xml:space="preserve">Annane D, Renault A, Brun-Buisson C, Megarbane B, Quenot JP, Siami S, et al. Hydrocortisone plus Fludrocortisone for Adults with Septic Shock. N Engl J Med. 2018;378(9):809-18.</w:t>
      </w:r>
    </w:p>
    <w:p>
      <w:pPr>
        <w:pStyle w:val="ListParagraph"/>
        <w:numPr>
          <w:ilvl w:val="0"/>
          <w:numId w:val="2"/>
        </w:numPr>
      </w:pPr>
      <w:r>
        <w:t xml:space="preserve">Venkatesh B, Finfer S, Cohen J, Rajbhandari D, Arabi Y, Bellomo R, et al. Adjunctive Glucocorticoid Therapy in Patients with Septic Shock. N Engl J Med. 2018;378(9):797-808.</w:t>
      </w:r>
    </w:p>
    <w:p>
      <w:pPr>
        <w:pStyle w:val="ListParagraph"/>
        <w:numPr>
          <w:ilvl w:val="0"/>
          <w:numId w:val="2"/>
        </w:numPr>
      </w:pPr>
      <w:r>
        <w:t xml:space="preserve">Holst LB, Haase N, Wetterslev J, Wernerman J, Guttormsen AB, Karlsson S, et al. Lower versus Higher Hemoglobin Threshold for Transfusion in Septic Shock. N Engl J Med. 2014;371(15):1381-91.</w:t>
      </w:r>
    </w:p>
    <w:p>
      <w:pPr>
        <w:pStyle w:val="ListParagraph"/>
        <w:numPr>
          <w:ilvl w:val="0"/>
          <w:numId w:val="2"/>
        </w:numPr>
      </w:pPr>
      <w:r>
        <w:t xml:space="preserve">Zampieri FG, Machado FR, Biondi RS, Freitas FGR, Veiga VC, Figueiredo RC, et al. Effect of Intravenous Fluid Treatment With a Balanced Solution vs 0.9% Saline Solution on Mortality in Critically Ill Patients: The BaSICS Randomized Clinical Trial. JAMA. 2021;326(9):1-12.</w:t>
      </w:r>
    </w:p>
    <w:p>
      <w:pPr>
        <w:pStyle w:val="ListParagraph"/>
        <w:numPr>
          <w:ilvl w:val="0"/>
          <w:numId w:val="2"/>
        </w:numPr>
      </w:pPr>
      <w:r>
        <w:t xml:space="preserve">Kellum JA, Lameire N, Aspelin P, Barsoum RS, Burdmann EA, Goldstein SL, et al. Kidney Disease: Improving Global Outcomes (KDIGO) Acute Kidney Injury Work Group. KDIGO Clinical Practice Guideline for Acute Kidney Injury. Kidney Int Suppl. 2012;2(1):1-138.</w:t>
      </w:r>
    </w:p>
    <w:p>
      <w:pPr>
        <w:pStyle w:val="ListParagraph"/>
        <w:numPr>
          <w:ilvl w:val="0"/>
          <w:numId w:val="2"/>
        </w:numPr>
      </w:pPr>
      <w:r>
        <w:t xml:space="preserve">Gaieski DF, Mikkelsen ME, Band RA, Pines JM, Massone R, Furia FF, et al. Impact of Time to Antibiotics on Survival in Patients with Severe Sepsis or Septic Shock in Whom Early Goal-Directed Therapy Was Initiated in the Emergency Department. Crit Care Med. 2010;38(4):1045-53.</w:t>
      </w:r>
    </w:p>
    <w:p>
      <w:pPr>
        <w:pStyle w:val="ListParagraph"/>
        <w:numPr>
          <w:ilvl w:val="0"/>
          <w:numId w:val="2"/>
        </w:numPr>
      </w:pPr>
      <w:r>
        <w:t xml:space="preserve">Kumar A, Roberts D, Wood KE, Light B, Parrillo JE, Sharma S, et al. Duration of Hypotension Before Initiation of Effective Antimicrobial Therapy is the Critical Determinant of Survival in Human Septic Shock. Crit Care Med. 2006;34(6):1589-96.</w:t>
      </w:r>
    </w:p>
    <w:p>
      <w:pPr>
        <w:pStyle w:val="ListParagraph"/>
        <w:numPr>
          <w:ilvl w:val="0"/>
          <w:numId w:val="2"/>
        </w:numPr>
      </w:pPr>
      <w:r>
        <w:t xml:space="preserve">Sprung CL, Annane D, Keh D, Moreno R, Singer M, Freivogel K, et al. Hydrocortisone Therapy for Patients with Septic Shock. N Engl J Med. 2008;358(2):111-24.</w:t>
      </w:r>
    </w:p>
    <w:p>
      <w:pPr>
        <w:pStyle w:val="ListParagraph"/>
        <w:numPr>
          <w:ilvl w:val="0"/>
          <w:numId w:val="2"/>
        </w:numPr>
      </w:pPr>
      <w:r>
        <w:t xml:space="preserve">Gordon AC, Mason AJ, Thirunavukkarasu N, Perkins GD, Cecconi M, Cepkova M, et al. Effect of Early Vasopressin vs Norepinephrine on Kidney Failure in Patients With Septic Shock: The VANISH Randomized Clinical Trial. JAMA. 2016;316(5):509-18.</w:t>
      </w:r>
    </w:p>
    <w:p>
      <w:pPr>
        <w:pStyle w:val="ListParagraph"/>
        <w:numPr>
          <w:ilvl w:val="0"/>
          <w:numId w:val="2"/>
        </w:numPr>
      </w:pPr>
      <w:r>
        <w:t xml:space="preserve">Heyland DK, Johnson AP, Reynolds SC, Muscedere J. Procalcitonin for Reduced Antibiotic Exposure in the Critical Care Setting: A Systematic Review and an Economic Evaluation. Crit Care Med. 2011;39(7):1792-9.</w:t>
      </w:r>
    </w:p>
    <w:p>
      <w:pPr>
        <w:pStyle w:val="ListParagraph"/>
        <w:numPr>
          <w:ilvl w:val="0"/>
          <w:numId w:val="2"/>
        </w:numPr>
      </w:pPr>
      <w:r>
        <w:t xml:space="preserve">Gattinoni L, Tognoni G, Pesenti A, Taccone P, Mascheroni D, Labarta V, et al. Effect of Prone Positioning on the Survival of Patients with Acute Respiratory Failure. N Engl J Med. 2001;345(8):568-73.</w:t>
      </w:r>
    </w:p>
    <w:p>
      <w:pPr>
        <w:pStyle w:val="ListParagraph"/>
        <w:numPr>
          <w:ilvl w:val="0"/>
          <w:numId w:val="2"/>
        </w:numPr>
      </w:pPr>
      <w:r>
        <w:t xml:space="preserve">ARDS Network. Ventilation with Lower Tidal Volumes as Compared with Traditional Tidal Volumes for Acute Lung Injury and the Acute Respiratory Distress Syndrome. N Engl J Med. 2000;342(18):1301-8.</w:t>
      </w:r>
    </w:p>
    <w:p>
      <w:pPr>
        <w:pStyle w:val="ListParagraph"/>
        <w:numPr>
          <w:ilvl w:val="0"/>
          <w:numId w:val="2"/>
        </w:numPr>
      </w:pPr>
      <w:r>
        <w:t xml:space="preserve">Angus DC, van der Poll T. Severe Sepsis and Septic Shock. N Engl J Med. 2013;369(9):840-51.</w:t>
      </w:r>
    </w:p>
    <w:p>
      <w:pPr>
        <w:pStyle w:val="ListParagraph"/>
        <w:numPr>
          <w:ilvl w:val="0"/>
          <w:numId w:val="2"/>
        </w:numPr>
      </w:pPr>
      <w:r>
        <w:t xml:space="preserve">Payen D, de Pont AC, Sakr Y, Spies C, Reinhart K, Vincent JL. A Positive Fluid Balance is Associated with a Worse Outcome in Patients with Acute Renal Failure. Crit Care. 2008;12(3):R74.</w:t>
      </w:r>
    </w:p>
    <w:p>
      <w:pPr>
        <w:pStyle w:val="ListParagraph"/>
        <w:numPr>
          <w:ilvl w:val="0"/>
          <w:numId w:val="2"/>
        </w:numPr>
      </w:pPr>
      <w:r>
        <w:t xml:space="preserve">Finfer S, Bellomo R, Boyce N, French J, Myburgh J, Norton R, et al. A Comparison of Albumin and Saline for Fluid Resuscitation in the Intensive Care Unit. N Engl J Med. 2004;350(22):2247-56.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jc w:val="center"/>
      <w:outlineLvl w:val="0"/>
    </w:pPr>
    <w:rPr>
      <w:rFonts w:ascii="Times New Roman" w:cs="Times New Roman" w:eastAsia="Times New Roman" w:hAnsi="Times New Roman"/>
      <w:b/>
      <w:bCs/>
      <w:color w:val="000000"/>
      <w:sz w:val="32"/>
      <w:szCs w:val="32"/>
    </w:rPr>
  </w:style>
  <w:style w:type="paragraph" w:styleId="BibEntry">
    <w:name w:val="Bibliography Entry"/>
    <w:basedOn w:val="Normal"/>
    <w:pPr>
      <w:spacing w:after="120" w:before="0"/>
      <w:ind w:left="0" w:hanging="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2025-11-15T06:25:25.423Z</dcterms:created>
  <dcterms:modified xsi:type="dcterms:W3CDTF">2025-11-15T06:25:25.424Z</dcterms:modified>
</cp:coreProperties>
</file>

<file path=docProps/custom.xml><?xml version="1.0" encoding="utf-8"?>
<Properties xmlns="http://schemas.openxmlformats.org/officeDocument/2006/custom-properties" xmlns:vt="http://schemas.openxmlformats.org/officeDocument/2006/docPropsVTypes"/>
</file>