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w:t>
      </w:r>
    </w:p>
    <w:p>
      <w:pPr>
        <w:spacing w:after="240"/>
      </w:pPr>
      <w:r>
        <w:rPr>
          <w:b/>
          <w:color w:val="1C5880"/>
          <w:sz w:val="26"/>
        </w:rPr>
        <w:t>Student MCP File-Server Connector</w:t>
      </w:r>
    </w:p>
    <w:p>
      <w:pPr>
        <w:spacing w:after="200"/>
      </w:pPr>
      <w:r>
        <w:rPr>
          <w:color w:val="5C6774"/>
          <w:sz w:val="18"/>
        </w:rPr>
        <w:t>Midterm Project  |  October 15, 2026</w:t>
      </w:r>
    </w:p>
    <w:p>
      <w:pPr>
        <w:pStyle w:val="Heading1"/>
      </w:pPr>
      <w:r>
        <w:t>1. Objective</w:t>
      </w:r>
    </w:p>
    <w:p>
      <w:r>
        <w:t>The objective of this project is to build a working Model Context Protocol (MCP) file-server connector that lets an AI client discover and use controlled file operations. The server keeps file actions inside a sandbox, exposes at least eight useful tools, supports remote access through an HTTPS tunnel, and preserves project state so a second agent session can continue earlier work.</w:t>
      </w:r>
    </w:p>
    <w:p>
      <w:pPr>
        <w:pStyle w:val="Heading1"/>
      </w:pPr>
      <w:r>
        <w:t>2. Technology Stack</w:t>
      </w:r>
    </w:p>
    <w:p>
      <w:r>
        <w:t>The implementation uses Node.js, JavaScript ES modules, the official MCP TypeScript/JavaScript SDK v1 package, Express, Zod schemas, dotenv, Git, and Node’s built-in test runner. The server supports Streamable HTTP for remote clients and stdio for local process-spawned clients. The official SDK documentation recommends Streamable HTTP for remote servers and describes stdio as a fit for local integrations.</w:t>
      </w:r>
    </w:p>
    <w:p>
      <w:r>
        <w:t>For deployment, an HTTPS tunnel such as ngrok forwards requests to the local HTTP port, while PM2 can keep the Node process running and restart it if it stops. HTTP mode requires a configured Bearer token.</w:t>
      </w:r>
    </w:p>
    <w:p>
      <w:pPr>
        <w:pStyle w:val="Heading1"/>
      </w:pPr>
      <w:r>
        <w:t>3. Tool Design</w:t>
      </w:r>
    </w:p>
    <w:p>
      <w:r>
        <w:t>The server exposes eight narrowly scoped tools:</w:t>
      </w:r>
    </w:p>
    <w:tbl>
      <w:tblPr>
        <w:tblStyle w:val="LightShading-Accent1"/>
        <w:tblW w:type="auto" w:w="0"/>
        <w:jc w:val="center"/>
        <w:tblLayout w:type="fixed"/>
        <w:tblLook w:firstColumn="1" w:firstRow="1" w:lastColumn="0" w:lastRow="0" w:noHBand="0" w:noVBand="1" w:val="04A0"/>
      </w:tblPr>
      <w:tblGrid>
        <w:gridCol w:w="1944"/>
        <w:gridCol w:w="8280"/>
      </w:tblGrid>
      <w:tr>
        <w:trPr>
          <w:cantSplit/>
        </w:trPr>
        <w:tc>
          <w:tcPr>
            <w:tcW w:type="dxa" w:w="4968"/>
            <w:vAlign w:val="center"/>
            <w:shd w:fill="165387"/>
          </w:tcPr>
          <w:p>
            <w:r>
              <w:rPr>
                <w:b/>
                <w:color w:val="FFFFFF"/>
                <w:sz w:val="18"/>
              </w:rPr>
              <w:t>Tool</w:t>
            </w:r>
          </w:p>
        </w:tc>
        <w:tc>
          <w:tcPr>
            <w:tcW w:type="dxa" w:w="4968"/>
            <w:vAlign w:val="center"/>
            <w:shd w:fill="165387"/>
          </w:tcPr>
          <w:p>
            <w:r>
              <w:rPr>
                <w:b/>
                <w:color w:val="FFFFFF"/>
                <w:sz w:val="18"/>
              </w:rPr>
              <w:t>Purpose</w:t>
            </w:r>
          </w:p>
        </w:tc>
      </w:tr>
      <w:tr>
        <w:trPr>
          <w:cantSplit/>
        </w:trPr>
        <w:tc>
          <w:tcPr>
            <w:tcW w:type="dxa" w:w="1944"/>
            <w:vAlign w:val="center"/>
          </w:tcPr>
          <w:p>
            <w:pPr>
              <w:spacing w:after="20"/>
            </w:pPr>
            <w:r>
              <w:rPr>
                <w:rFonts w:ascii="Aptos" w:hAnsi="Aptos"/>
                <w:b/>
                <w:sz w:val="18"/>
              </w:rPr>
              <w:t>list_files</w:t>
            </w:r>
          </w:p>
        </w:tc>
        <w:tc>
          <w:tcPr>
            <w:tcW w:type="dxa" w:w="8280"/>
            <w:vAlign w:val="center"/>
          </w:tcPr>
          <w:p>
            <w:pPr>
              <w:spacing w:after="20"/>
            </w:pPr>
            <w:r>
              <w:rPr>
                <w:rFonts w:ascii="Aptos" w:hAnsi="Aptos"/>
                <w:sz w:val="18"/>
              </w:rPr>
              <w:t>List workspace files and directories.</w:t>
            </w:r>
          </w:p>
        </w:tc>
      </w:tr>
      <w:tr>
        <w:trPr>
          <w:cantSplit/>
        </w:trPr>
        <w:tc>
          <w:tcPr>
            <w:tcW w:type="dxa" w:w="1944"/>
            <w:vAlign w:val="center"/>
          </w:tcPr>
          <w:p>
            <w:pPr>
              <w:spacing w:after="20"/>
            </w:pPr>
            <w:r>
              <w:rPr>
                <w:rFonts w:ascii="Aptos" w:hAnsi="Aptos"/>
                <w:b/>
                <w:sz w:val="18"/>
              </w:rPr>
              <w:t>read_file</w:t>
            </w:r>
          </w:p>
        </w:tc>
        <w:tc>
          <w:tcPr>
            <w:tcW w:type="dxa" w:w="8280"/>
            <w:vAlign w:val="center"/>
          </w:tcPr>
          <w:p>
            <w:pPr>
              <w:spacing w:after="20"/>
            </w:pPr>
            <w:r>
              <w:rPr>
                <w:rFonts w:ascii="Aptos" w:hAnsi="Aptos"/>
                <w:sz w:val="18"/>
              </w:rPr>
              <w:t>Read a bounded UTF-8 text file.</w:t>
            </w:r>
          </w:p>
        </w:tc>
      </w:tr>
      <w:tr>
        <w:trPr>
          <w:cantSplit/>
        </w:trPr>
        <w:tc>
          <w:tcPr>
            <w:tcW w:type="dxa" w:w="1944"/>
            <w:vAlign w:val="center"/>
          </w:tcPr>
          <w:p>
            <w:pPr>
              <w:spacing w:after="20"/>
            </w:pPr>
            <w:r>
              <w:rPr>
                <w:rFonts w:ascii="Aptos" w:hAnsi="Aptos"/>
                <w:b/>
                <w:sz w:val="18"/>
              </w:rPr>
              <w:t>write_file</w:t>
            </w:r>
          </w:p>
        </w:tc>
        <w:tc>
          <w:tcPr>
            <w:tcW w:type="dxa" w:w="8280"/>
            <w:vAlign w:val="center"/>
          </w:tcPr>
          <w:p>
            <w:pPr>
              <w:spacing w:after="20"/>
            </w:pPr>
            <w:r>
              <w:rPr>
                <w:rFonts w:ascii="Aptos" w:hAnsi="Aptos"/>
                <w:sz w:val="18"/>
              </w:rPr>
              <w:t>Create a file or explicitly overwrite an existing file.</w:t>
            </w:r>
          </w:p>
        </w:tc>
      </w:tr>
      <w:tr>
        <w:trPr>
          <w:cantSplit/>
        </w:trPr>
        <w:tc>
          <w:tcPr>
            <w:tcW w:type="dxa" w:w="1944"/>
            <w:vAlign w:val="center"/>
          </w:tcPr>
          <w:p>
            <w:pPr>
              <w:spacing w:after="20"/>
            </w:pPr>
            <w:r>
              <w:rPr>
                <w:rFonts w:ascii="Aptos" w:hAnsi="Aptos"/>
                <w:b/>
                <w:sz w:val="18"/>
              </w:rPr>
              <w:t>str_replace</w:t>
            </w:r>
          </w:p>
        </w:tc>
        <w:tc>
          <w:tcPr>
            <w:tcW w:type="dxa" w:w="8280"/>
            <w:vAlign w:val="center"/>
          </w:tcPr>
          <w:p>
            <w:pPr>
              <w:spacing w:after="20"/>
            </w:pPr>
            <w:r>
              <w:rPr>
                <w:rFonts w:ascii="Aptos" w:hAnsi="Aptos"/>
                <w:sz w:val="18"/>
              </w:rPr>
              <w:t>Replace one exact text fragment when it matches exactly once.</w:t>
            </w:r>
          </w:p>
        </w:tc>
      </w:tr>
      <w:tr>
        <w:trPr>
          <w:cantSplit/>
        </w:trPr>
        <w:tc>
          <w:tcPr>
            <w:tcW w:type="dxa" w:w="1944"/>
            <w:vAlign w:val="center"/>
          </w:tcPr>
          <w:p>
            <w:pPr>
              <w:spacing w:after="20"/>
            </w:pPr>
            <w:r>
              <w:rPr>
                <w:rFonts w:ascii="Aptos" w:hAnsi="Aptos"/>
                <w:b/>
                <w:sz w:val="18"/>
              </w:rPr>
              <w:t>delete_file</w:t>
            </w:r>
          </w:p>
        </w:tc>
        <w:tc>
          <w:tcPr>
            <w:tcW w:type="dxa" w:w="8280"/>
            <w:vAlign w:val="center"/>
          </w:tcPr>
          <w:p>
            <w:pPr>
              <w:spacing w:after="20"/>
            </w:pPr>
            <w:r>
              <w:rPr>
                <w:rFonts w:ascii="Aptos" w:hAnsi="Aptos"/>
                <w:sz w:val="18"/>
              </w:rPr>
              <w:t>Delete a file only after explicit confirmation.</w:t>
            </w:r>
          </w:p>
        </w:tc>
      </w:tr>
      <w:tr>
        <w:trPr>
          <w:cantSplit/>
        </w:trPr>
        <w:tc>
          <w:tcPr>
            <w:tcW w:type="dxa" w:w="1944"/>
            <w:vAlign w:val="center"/>
          </w:tcPr>
          <w:p>
            <w:pPr>
              <w:spacing w:after="20"/>
            </w:pPr>
            <w:r>
              <w:rPr>
                <w:rFonts w:ascii="Aptos" w:hAnsi="Aptos"/>
                <w:b/>
                <w:sz w:val="18"/>
              </w:rPr>
              <w:t>search_files</w:t>
            </w:r>
          </w:p>
        </w:tc>
        <w:tc>
          <w:tcPr>
            <w:tcW w:type="dxa" w:w="8280"/>
            <w:vAlign w:val="center"/>
          </w:tcPr>
          <w:p>
            <w:pPr>
              <w:spacing w:after="20"/>
            </w:pPr>
            <w:r>
              <w:rPr>
                <w:rFonts w:ascii="Aptos" w:hAnsi="Aptos"/>
                <w:sz w:val="18"/>
              </w:rPr>
              <w:t>Search workspace text and return paths, line numbers, and snippets.</w:t>
            </w:r>
          </w:p>
        </w:tc>
      </w:tr>
      <w:tr>
        <w:trPr>
          <w:cantSplit/>
        </w:trPr>
        <w:tc>
          <w:tcPr>
            <w:tcW w:type="dxa" w:w="1944"/>
            <w:vAlign w:val="center"/>
          </w:tcPr>
          <w:p>
            <w:pPr>
              <w:spacing w:after="20"/>
            </w:pPr>
            <w:r>
              <w:rPr>
                <w:rFonts w:ascii="Aptos" w:hAnsi="Aptos"/>
                <w:b/>
                <w:sz w:val="18"/>
              </w:rPr>
              <w:t>git_status</w:t>
            </w:r>
          </w:p>
        </w:tc>
        <w:tc>
          <w:tcPr>
            <w:tcW w:type="dxa" w:w="8280"/>
            <w:vAlign w:val="center"/>
          </w:tcPr>
          <w:p>
            <w:pPr>
              <w:spacing w:after="20"/>
            </w:pPr>
            <w:r>
              <w:rPr>
                <w:rFonts w:ascii="Aptos" w:hAnsi="Aptos"/>
                <w:sz w:val="18"/>
              </w:rPr>
              <w:t>Inspect Git status.</w:t>
            </w:r>
          </w:p>
        </w:tc>
      </w:tr>
      <w:tr>
        <w:trPr>
          <w:cantSplit/>
        </w:trPr>
        <w:tc>
          <w:tcPr>
            <w:tcW w:type="dxa" w:w="1944"/>
            <w:vAlign w:val="center"/>
          </w:tcPr>
          <w:p>
            <w:pPr>
              <w:spacing w:after="20"/>
            </w:pPr>
            <w:r>
              <w:rPr>
                <w:rFonts w:ascii="Aptos" w:hAnsi="Aptos"/>
                <w:b/>
                <w:sz w:val="18"/>
              </w:rPr>
              <w:t>git_diff</w:t>
            </w:r>
          </w:p>
        </w:tc>
        <w:tc>
          <w:tcPr>
            <w:tcW w:type="dxa" w:w="8280"/>
            <w:vAlign w:val="center"/>
          </w:tcPr>
          <w:p>
            <w:pPr>
              <w:spacing w:after="20"/>
            </w:pPr>
            <w:r>
              <w:rPr>
                <w:rFonts w:ascii="Aptos" w:hAnsi="Aptos"/>
                <w:sz w:val="18"/>
              </w:rPr>
              <w:t>Inspect unstaged changes, optionally for one relative file path.</w:t>
            </w:r>
          </w:p>
        </w:tc>
      </w:tr>
    </w:tbl>
    <w:p>
      <w:r>
        <w:t>Tool inputs use defined schemas. Failed operations return explicit MCP tool errors. File-writing and deletion actions are recorded in TOOL_AUDIT.log.</w:t>
      </w:r>
    </w:p>
    <w:p>
      <w:pPr>
        <w:pStyle w:val="Heading1"/>
      </w:pPr>
      <w:r>
        <w:t>4. Architecture and Handoff</w:t>
      </w:r>
    </w:p>
    <w:p>
      <w:r>
        <w:t>The HTTP layer authenticates requests, validates the Host header against a configured allowlist, and serves MCP requests at /mcp. A workspace layer resolves user paths against one configured root directory. Tool registration is separate from transport code so the same tools can run over HTTP and stdio.</w:t>
      </w:r>
    </w:p>
    <w:p>
      <w:r>
        <w:t>Four persistent Markdown files support cross-session handoff:</w:t>
      </w:r>
    </w:p>
    <w:p>
      <w:pPr>
        <w:pStyle w:val="ListBullet"/>
      </w:pPr>
      <w:r>
        <w:t>PROJECT_STATE.md records the current task and next action.</w:t>
      </w:r>
    </w:p>
    <w:p>
      <w:pPr>
        <w:pStyle w:val="ListBullet"/>
      </w:pPr>
      <w:r>
        <w:t>PLAN_LOG.md records planned and completed work.</w:t>
      </w:r>
    </w:p>
    <w:p>
      <w:pPr>
        <w:pStyle w:val="ListBullet"/>
      </w:pPr>
      <w:r>
        <w:t>CHECKPOINTS.md records verification milestones.</w:t>
      </w:r>
    </w:p>
    <w:p>
      <w:pPr>
        <w:pStyle w:val="ListBullet"/>
      </w:pPr>
      <w:r>
        <w:t>DECISIONS.md records choices and their reasons.</w:t>
      </w:r>
    </w:p>
    <w:p>
      <w:r>
        <w:t>In the sample demonstration, Session 1 inspects a small task utility and saves the next task. Session 2 opens a new client connection, reads the shared handoff files, adds getOverdueTasks(), writes a test, and checks the result. This shows that work can continue from durable files rather than relying on earlier conversation history.</w:t>
      </w:r>
    </w:p>
    <w:p>
      <w:pPr>
        <w:pStyle w:val="Heading1"/>
      </w:pPr>
      <w:r>
        <w:t>5. Security Controls and Tradeoffs</w:t>
      </w:r>
    </w:p>
    <w:p>
      <w:pPr>
        <w:pStyle w:val="ListBullet"/>
      </w:pPr>
      <w:r>
        <w:t>The sandbox rejects absolute paths, path traversal, detected symlink targets that resolve outside the workspace, and hard-linked files for reads and overwrites.</w:t>
      </w:r>
    </w:p>
    <w:p>
      <w:pPr>
        <w:pStyle w:val="ListBullet"/>
      </w:pPr>
      <w:r>
        <w:t>Reads reject binary files and files larger than 1 MB. Writes are limited to 1 MB and refuse overwrites unless overwrite=true is supplied.</w:t>
      </w:r>
    </w:p>
    <w:p>
      <w:pPr>
        <w:pStyle w:val="ListBullet"/>
      </w:pPr>
      <w:r>
        <w:t>Text replacement must match exactly once. Deletion requires confirm=true and is limited to files, not directories.</w:t>
      </w:r>
    </w:p>
    <w:p>
      <w:pPr>
        <w:pStyle w:val="ListBullet"/>
      </w:pPr>
      <w:r>
        <w:t>Git operations use fixed argument arrays rather than executing user-supplied shell commands.</w:t>
      </w:r>
    </w:p>
    <w:p>
      <w:pPr>
        <w:pStyle w:val="ListBullet"/>
      </w:pPr>
      <w:r>
        <w:t>HTTP requests require a random Bearer token, and Host values must be allowlisted.</w:t>
      </w:r>
    </w:p>
    <w:p>
      <w:r>
        <w:t>The HTTPS tunnel encrypts the client-to-tunnel connection while the Node server remains local behind the tunnel. This design is intentionally simple for a course demo. Its limitations are a shared static token rather than OAuth, no role-based access control or rate limiting, and possible time-of-check/time-of-use risk if another local process changes symlinks during an operation. These limitations are documented in the README.</w:t>
      </w:r>
    </w:p>
    <w:p>
      <w:pPr>
        <w:pStyle w:val="Heading1"/>
      </w:pPr>
      <w:r>
        <w:t>6. Testing and Demonstration</w:t>
      </w:r>
    </w:p>
    <w:p>
      <w:r>
        <w:t>The repository includes tests for normal file operations, blocked traversal, blocked external symlinks, and the sample Task Utils functions. The two-client demonstration script records MCP tool arguments and returned results in docs/DEMO_TRANSCRIPT.md. It also runs the workspace tests and checks Git status/diff after Session 2 makes a change.</w:t>
      </w:r>
    </w:p>
    <w:p>
      <w:r>
        <w:t>The automated transcript represents two independent MCP client connections, not two language-model agents by itself. For a strict interpretation of the assignment, the live class demo should also show two separate AI-client conversations connected to the same MCP server.</w:t>
      </w:r>
    </w:p>
    <w:p>
      <w:pPr>
        <w:pStyle w:val="Heading1"/>
      </w:pPr>
      <w:r>
        <w:t>7. Conclusion</w:t>
      </w:r>
    </w:p>
    <w:p>
      <w:r>
        <w:t>The project provides a foundation for a sandboxed MCP file server with eight tools, path safety checks, authenticated HTTP access, Git-lite inspection, persistent handoff files, and an executable multi-connection demonstration. The key design principle is that agent convenience does not replace server-side security: the tools validate file paths and destructive actions before touching the workspace.</w:t>
      </w:r>
    </w:p>
    <w:p>
      <w:pPr>
        <w:pStyle w:val="Heading1"/>
      </w:pPr>
      <w:r>
        <w:t>Reference</w:t>
      </w:r>
    </w:p>
    <w:p>
      <w:r>
        <w:rPr>
          <w:b/>
        </w:rPr>
        <w:t xml:space="preserve">Model Context Protocol. </w:t>
      </w:r>
      <w:r>
        <w:t>MCP TypeScript SDK (v1), Server Guide. https://ts.sdk.modelcontextprotocol.io/server (accessed October 15, 2026).</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B"/>
        <w:sz w:val="16"/>
      </w:rPr>
      <w:t xml:space="preserve">Student MCP File-Server Connector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66678"/>
        <w:sz w:val="16"/>
      </w:rPr>
      <w:t>MIDTERM PROJECT  |  MCP FILE-SERVER CONNECTOR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2F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557"/>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C588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635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Student MCP File-Server Connector</dc:title>
  <dc:subject>Midterm project report</dc:subject>
  <dc:creator/>
  <cp:keywords>MCP, file server, sandbox, Streamable HTTP</cp:keywords>
  <dc:description>generated by python-docx</dc:description>
  <cp:lastModifiedBy/>
  <cp:revision>1</cp:revision>
  <dcterms:created xsi:type="dcterms:W3CDTF">2013-12-23T23:15:00Z</dcterms:created>
  <dcterms:modified xsi:type="dcterms:W3CDTF">2013-12-23T23:15:00Z</dcterms:modified>
  <cp:category/>
</cp:coreProperties>
</file>