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7280"/>
          <w:sz w:val="18"/>
          <w:szCs w:val="18"/>
        </w:rPr>
        <w:t xml:space="preserve">[ Markenname · Logo hier ]</w:t>
      </w:r>
    </w:p>
    <w:p>
      <w:pPr>
        <w:spacing w:after="60"/>
      </w:pPr>
      <w:r>
        <w:rPr>
          <w:b/>
          <w:bCs/>
          <w:color w:val="1E3A5F"/>
          <w:sz w:val="44"/>
          <w:szCs w:val="44"/>
        </w:rPr>
        <w:t xml:space="preserve">Checkliste: Nachhilfe-Institut digitalisieren</w:t>
      </w:r>
    </w:p>
    <w:p>
      <w:pPr>
        <w:spacing w:after="180"/>
      </w:pPr>
      <w:r>
        <w:rPr>
          <w:color w:val="374151"/>
          <w:sz w:val="24"/>
          <w:szCs w:val="24"/>
        </w:rPr>
        <w:t xml:space="preserve">Zehn Bereiche zum ehrlichen Durchhaken – und die Erkenntnis, wo sich Digitalisieren für Sie wirklich lohnt.</w:t>
      </w:r>
    </w:p>
    <w:p>
      <w:pPr>
        <w:pBdr>
          <w:bottom w:val="single" w:color="1E3A5F" w:sz="12" w:space="1"/>
        </w:pBdr>
        <w:spacing w:after="160"/>
      </w:pPr>
    </w:p>
    <w:p>
      <w:pPr>
        <w:spacing w:after="120" w:line="276"/>
      </w:pPr>
      <w:r>
        <w:rPr>
          <w:color w:val="1A1A1A"/>
          <w:sz w:val="22"/>
          <w:szCs w:val="22"/>
        </w:rPr>
        <w:t xml:space="preserve">Die meisten Nachhilfe-Institute sind nicht wegen schlechter Lehrkräfte am Limit, sondern wegen Excel-Tabellen, Zettelwirtschaft und drei parallelen WhatsApp-Gruppen. Das geht erstaunlich lange gut – bis es das nicht mehr tut. Diese Checkliste zeigt Ihnen in zehn Bereichen, wo in Ihrem Institut gerade Zeit und Überblick verloren gehen.</w:t>
      </w:r>
    </w:p>
    <w:p>
      <w:pPr>
        <w:spacing w:after="220" w:line="276"/>
      </w:pPr>
      <w:r>
        <w:rPr>
          <w:b/>
          <w:bCs/>
          <w:color w:val="1A1A1A"/>
          <w:sz w:val="22"/>
          <w:szCs w:val="22"/>
        </w:rPr>
        <w:t xml:space="preserve">So geht’s: </w:t>
      </w:r>
      <w:r>
        <w:rPr>
          <w:color w:val="1A1A1A"/>
          <w:sz w:val="22"/>
          <w:szCs w:val="22"/>
        </w:rPr>
        <w:t xml:space="preserve">Jedes Kästchen, das Sie ehrlich abhaken können, läuft bei Ihnen schon rund. Jedes leere Kästchen ist ein Kandidat fürs Digitalisieren. Am Ende zählen Sie einfach durch.</w:t>
      </w:r>
    </w:p>
    <w:p>
      <w:pPr>
        <w:pStyle w:val="Heading2"/>
      </w:pPr>
      <w:r>
        <w:t xml:space="preserve">1. Schüler- und Kundenverwaltung</w:t>
      </w:r>
    </w:p>
    <w:p>
      <w:pPr>
        <w:spacing w:after="110"/>
      </w:pPr>
      <w:r>
        <w:rPr>
          <w:i/>
          <w:iCs/>
          <w:color w:val="6B7280"/>
          <w:sz w:val="20"/>
          <w:szCs w:val="20"/>
        </w:rPr>
        <w:t xml:space="preserve">Stammdaten, Verträge, Lernziele – an einem Ort statt in fünf Ordnern.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Alle Schülerdaten liegen zentral an einem Ort, nicht verteilt auf Excel, Mails und Papier.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Eltern- und Kontaktdaten sind jederzeit auffindbar – auch von einer Vertretung.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Fach, Klassenstufe und Lernziele sind pro Schüler hinterlegt.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Vertragslaufzeiten und Kündigungsfristen werden automatisch im Blick behalten.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Einwilligungen (DSGVO) sind dokumentiert und auffindbar.</w:t>
      </w:r>
    </w:p>
    <w:p>
      <w:pPr>
        <w:pStyle w:val="Heading2"/>
      </w:pPr>
      <w:r>
        <w:t xml:space="preserve">2. Lehrkräfte-Verwaltung</w:t>
      </w:r>
    </w:p>
    <w:p>
      <w:pPr>
        <w:spacing w:after="110"/>
      </w:pPr>
      <w:r>
        <w:rPr>
          <w:i/>
          <w:iCs/>
          <w:color w:val="6B7280"/>
          <w:sz w:val="20"/>
          <w:szCs w:val="20"/>
        </w:rPr>
        <w:t xml:space="preserve">Wer kann was, ist wann verfügbar und bekommt welchen Satz?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Qualifikationen und Unterrichtsfächer jeder Lehrkraft sind erfasst.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Verfügbarkeiten sind zentral einsehbar, nicht nur „im Kopf“.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Honorar- bzw. Vergütungssätze sind pro Lehrkraft sauber hinterlegt.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Verträge (Honorar oder Anstellung) sind dokumentiert und griffbereit.</w:t>
      </w:r>
    </w:p>
    <w:p>
      <w:pPr>
        <w:pStyle w:val="Heading2"/>
      </w:pPr>
      <w:r>
        <w:t xml:space="preserve">3. Stunden- und Anwesenheitserfassung</w:t>
      </w:r>
    </w:p>
    <w:p>
      <w:pPr>
        <w:spacing w:after="110"/>
      </w:pPr>
      <w:r>
        <w:rPr>
          <w:i/>
          <w:iCs/>
          <w:color w:val="6B7280"/>
          <w:sz w:val="20"/>
          <w:szCs w:val="20"/>
        </w:rPr>
        <w:t xml:space="preserve">Was tatsächlich stattgefunden hat – lückenlos und ohne Suchen.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Jede durchgeführte Stunde wird zeitnah und einheitlich erfasst.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Die Anwesenheit der Schüler ist nachvollziehbar dokumentiert.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Ausfälle und Vertretungen werden festgehalten.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Die Stundenerfassung hängt direkt mit der Abrechnung zusammen – keine doppelte Tipparbeit.</w:t>
      </w:r>
    </w:p>
    <w:p>
      <w:pPr>
        <w:pStyle w:val="Heading2"/>
      </w:pPr>
      <w:r>
        <w:t xml:space="preserve">4. Abrechnung (Lehrkräfte und Eltern)</w:t>
      </w:r>
    </w:p>
    <w:p>
      <w:pPr>
        <w:spacing w:after="110"/>
      </w:pPr>
      <w:r>
        <w:rPr>
          <w:i/>
          <w:iCs/>
          <w:color w:val="6B7280"/>
          <w:sz w:val="20"/>
          <w:szCs w:val="20"/>
        </w:rPr>
        <w:t xml:space="preserve">Das Thema, an dem die meisten Stunden im Monat verschwinden.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Die Lehrkräfte-Abrechnung entsteht aus den erfassten Stunden – automatisch, nicht per Hand.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Eltern- und Kundenrechnungen lassen sich ohne großen Aufwand erzeugen.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Offene Posten sind auf einen Blick sichtbar.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Es gibt einen sauberen Export für den Steuerberater (z. B. CSV).</w:t>
      </w:r>
    </w:p>
    <w:p>
      <w:pPr>
        <w:pStyle w:val="Heading2"/>
      </w:pPr>
      <w:r>
        <w:t xml:space="preserve">5. Termin- und Raumplanung</w:t>
      </w:r>
    </w:p>
    <w:p>
      <w:pPr>
        <w:spacing w:after="110"/>
      </w:pPr>
      <w:r>
        <w:rPr>
          <w:i/>
          <w:iCs/>
          <w:color w:val="6B7280"/>
          <w:sz w:val="20"/>
          <w:szCs w:val="20"/>
        </w:rPr>
        <w:t xml:space="preserve">Wer unterrichtet wann, wen, in welchem Raum – ohne Doppelbelegung.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Es ist jederzeit klar, wer wann wen unterrichtet.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Räume werden ohne Doppelbelegung geplant.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Änderungen sind sofort für alle Beteiligten sichtbar.</w:t>
      </w:r>
    </w:p>
    <w:p>
      <w:pPr>
        <w:pStyle w:val="Heading2"/>
      </w:pPr>
      <w:r>
        <w:t xml:space="preserve">6. Kommunikation mit Eltern und Lehrkräften</w:t>
      </w:r>
    </w:p>
    <w:p>
      <w:pPr>
        <w:spacing w:after="110"/>
      </w:pPr>
      <w:r>
        <w:rPr>
          <w:i/>
          <w:iCs/>
          <w:color w:val="6B7280"/>
          <w:sz w:val="20"/>
          <w:szCs w:val="20"/>
        </w:rPr>
        <w:t xml:space="preserve">Absagen, Erinnerungen, Feedback – nachvollziehbar statt im Chat-Chaos.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Terminabsagen und -änderungen laufen über einen geregelten Weg.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Eltern bekommen bei Bedarf automatische Erinnerungen.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Rückmeldungen zum Lernfortschritt sind dokumentiert, nicht nur mündlich.</w:t>
      </w:r>
    </w:p>
    <w:p>
      <w:pPr>
        <w:pStyle w:val="Heading2"/>
      </w:pPr>
      <w:r>
        <w:t xml:space="preserve">7. Mehrere Standorte (falls zutreffend)</w:t>
      </w:r>
    </w:p>
    <w:p>
      <w:pPr>
        <w:spacing w:after="110"/>
      </w:pPr>
      <w:r>
        <w:rPr>
          <w:i/>
          <w:iCs/>
          <w:color w:val="6B7280"/>
          <w:sz w:val="20"/>
          <w:szCs w:val="20"/>
        </w:rPr>
        <w:t xml:space="preserve">Mehr als ein Standort? Dann wird Überblick schnell zum Vollzeitjob.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Alle Standorte arbeiten im selben System, nicht jeder mit eigener Lösung.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Es ist geregelt, wer welche Daten sehen darf (Rollen und Rechte).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Standortübergreifende Auswertungen sind ohne Zusammenkopieren möglich.</w:t>
      </w:r>
    </w:p>
    <w:p>
      <w:pPr>
        <w:pStyle w:val="Heading2"/>
      </w:pPr>
      <w:r>
        <w:t xml:space="preserve">8. Auswertung und Überblick</w:t>
      </w:r>
    </w:p>
    <w:p>
      <w:pPr>
        <w:spacing w:after="110"/>
      </w:pPr>
      <w:r>
        <w:rPr>
          <w:i/>
          <w:iCs/>
          <w:color w:val="6B7280"/>
          <w:sz w:val="20"/>
          <w:szCs w:val="20"/>
        </w:rPr>
        <w:t xml:space="preserve">Welche Fächer, welche Lehrkräfte, welcher Umsatz – auf einen Blick.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Die Auslastung (freie vs. belegte Kapazität) ist jederzeit sichtbar.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Umsatz pro Standort und Fach lässt sich auf Knopfdruck ablesen.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Sie erkennen früh, welche Fächer oder Lehrkräfte besonders gefragt sind.</w:t>
      </w:r>
    </w:p>
    <w:p>
      <w:pPr>
        <w:pStyle w:val="Heading2"/>
      </w:pPr>
      <w:r>
        <w:t xml:space="preserve">9. Datenschutz (DSGVO)</w:t>
      </w:r>
    </w:p>
    <w:p>
      <w:pPr>
        <w:spacing w:after="110"/>
      </w:pPr>
      <w:r>
        <w:rPr>
          <w:i/>
          <w:iCs/>
          <w:color w:val="6B7280"/>
          <w:sz w:val="20"/>
          <w:szCs w:val="20"/>
        </w:rPr>
        <w:t xml:space="preserve">In Deutschland kein Nice-to-have: Wo liegen Ihre Daten, wer darf sie sehen?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Sie wissen genau, wo Ihre Daten gespeichert sind – idealerweise in der EU.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Nicht jeder hat Zugriff auf alles; die Rechte sind sauber vergeben.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Mit Dienstleistern ist die Auftragsverarbeitung (AVV) geregelt.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Bei einer Auskunfts- oder Löschanfrage finden Sie die Daten schnell.</w:t>
      </w:r>
    </w:p>
    <w:p>
      <w:pPr>
        <w:pStyle w:val="Heading2"/>
      </w:pPr>
      <w:r>
        <w:t xml:space="preserve">10. Datensicherheit und Backup</w:t>
      </w:r>
    </w:p>
    <w:p>
      <w:pPr>
        <w:spacing w:after="110"/>
      </w:pPr>
      <w:r>
        <w:rPr>
          <w:i/>
          <w:iCs/>
          <w:color w:val="6B7280"/>
          <w:sz w:val="20"/>
          <w:szCs w:val="20"/>
        </w:rPr>
        <w:t xml:space="preserve">Was passiert, wenn der Laptop kaputtgeht oder der USB-Stick weg ist?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Ihre Daten sind zentral gesichert – nicht nur auf einem Laptop oder USB-Stick.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Bei einem Geräteausfall geht nichts verloren.</w:t>
      </w:r>
    </w:p>
    <w:p>
      <w:pPr>
        <w:tabs>
          <w:tab w:val="left" w:pos="420"/>
        </w:tabs>
        <w:spacing w:after="70" w:line="264"/>
        <w:ind w:left="420" w:hanging="420"/>
      </w:pPr>
      <w:r>
        <w:rPr>
          <w:color w:val="1E3A5F"/>
          <w:sz w:val="24"/>
          <w:szCs w:val="24"/>
        </w:rPr>
        <w:t xml:space="preserve">☐</w:t>
      </w:r>
      <w:r>
        <w:t xml:space="preserve">	</w:t>
      </w:r>
      <w:r>
        <w:rPr>
          <w:color w:val="1A1A1A"/>
          <w:sz w:val="22"/>
          <w:szCs w:val="22"/>
        </w:rPr>
        <w:t xml:space="preserve">Sie kommen auch von unterwegs sicher an die wichtigen Daten.</w:t>
      </w:r>
    </w:p>
    <w:p>
      <w:pPr>
        <w:pStyle w:val="Heading2"/>
        <w:pageBreakBefore/>
      </w:pPr>
      <w:r>
        <w:t xml:space="preserve">Ihr Ergebnis</w:t>
      </w:r>
    </w:p>
    <w:p>
      <w:pPr>
        <w:spacing w:after="140" w:line="276"/>
      </w:pPr>
      <w:r>
        <w:rPr>
          <w:color w:val="1A1A1A"/>
          <w:sz w:val="22"/>
          <w:szCs w:val="22"/>
        </w:rPr>
        <w:t xml:space="preserve">Zählen Sie Ihre Häkchen (insgesamt 36 Punkte):</w:t>
      </w:r>
    </w:p>
    <w:p>
      <w:pPr>
        <w:tabs>
          <w:tab w:val="left" w:pos="360"/>
        </w:tabs>
        <w:spacing w:after="90" w:line="264"/>
        <w:ind w:left="360" w:hanging="360"/>
      </w:pPr>
      <w:r>
        <w:rPr>
          <w:b/>
          <w:bCs/>
          <w:color w:val="1E3A5F"/>
          <w:sz w:val="22"/>
          <w:szCs w:val="22"/>
        </w:rPr>
        <w:t xml:space="preserve">29–36</w:t>
      </w:r>
      <w:r>
        <w:t xml:space="preserve">	</w:t>
      </w:r>
      <w:r>
        <w:rPr>
          <w:color w:val="1A1A1A"/>
          <w:sz w:val="22"/>
          <w:szCs w:val="22"/>
        </w:rPr>
        <w:t xml:space="preserve">Respekt – Ihr Institut läuft erstaunlich strukturiert. Hier geht es nur noch um Feinheiten.</w:t>
      </w:r>
    </w:p>
    <w:p>
      <w:pPr>
        <w:tabs>
          <w:tab w:val="left" w:pos="360"/>
        </w:tabs>
        <w:spacing w:after="90" w:line="264"/>
        <w:ind w:left="360" w:hanging="360"/>
      </w:pPr>
      <w:r>
        <w:rPr>
          <w:b/>
          <w:bCs/>
          <w:color w:val="1E3A5F"/>
          <w:sz w:val="22"/>
          <w:szCs w:val="22"/>
        </w:rPr>
        <w:t xml:space="preserve">15–28</w:t>
      </w:r>
      <w:r>
        <w:t xml:space="preserve">	</w:t>
      </w:r>
      <w:r>
        <w:rPr>
          <w:color w:val="1A1A1A"/>
          <w:sz w:val="22"/>
          <w:szCs w:val="22"/>
        </w:rPr>
        <w:t xml:space="preserve">Solide Basis, aber an mehreren Stellen verschenken Sie Zeit. Ein genauer Blick lohnt sich.</w:t>
      </w:r>
    </w:p>
    <w:p>
      <w:pPr>
        <w:tabs>
          <w:tab w:val="left" w:pos="360"/>
        </w:tabs>
        <w:spacing w:after="90" w:line="264"/>
        <w:ind w:left="360" w:hanging="360"/>
      </w:pPr>
      <w:r>
        <w:rPr>
          <w:b/>
          <w:bCs/>
          <w:color w:val="1E3A5F"/>
          <w:sz w:val="22"/>
          <w:szCs w:val="22"/>
        </w:rPr>
        <w:t xml:space="preserve">unter 15</w:t>
      </w:r>
      <w:r>
        <w:t xml:space="preserve">	</w:t>
      </w:r>
      <w:r>
        <w:rPr>
          <w:color w:val="1A1A1A"/>
          <w:sz w:val="22"/>
          <w:szCs w:val="22"/>
        </w:rPr>
        <w:t xml:space="preserve">Sehr viel läuft noch von Hand. Das kostet Sie jeden Monat Stunden, die besser in Unterricht und Wachstum fließen.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CE6" w:sz="4"/>
              <w:left w:val="single" w:color="1E3A5F" w:sz="28"/>
              <w:bottom w:val="single" w:color="D5DCE6" w:sz="4"/>
              <w:right w:val="single" w:color="D5DCE6" w:sz="4"/>
            </w:tcBorders>
            <w:shd w:fill="EAF0F7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00"/>
            </w:pPr>
            <w:r>
              <w:rPr>
                <w:b/>
                <w:bCs/>
                <w:color w:val="1E3A5F"/>
                <w:sz w:val="28"/>
                <w:szCs w:val="28"/>
              </w:rPr>
              <w:t xml:space="preserve">Viele leere Kästchen?</w:t>
            </w:r>
          </w:p>
          <w:p>
            <w:pPr>
              <w:spacing w:after="120" w:line="276"/>
            </w:pPr>
            <w:r>
              <w:rPr>
                <w:color w:val="1A1A1A"/>
                <w:sz w:val="22"/>
                <w:szCs w:val="22"/>
              </w:rPr>
              <w:t xml:space="preserve">Genau dafür hab ich [Markenname] gebaut: eine Verwaltung, die Schüler, Lehrkräfte, Stunden und Abrechnung an einem Ort bündelt – mit einer eigenen, abgeschotteten Instanz nur für Ihr Institut und Ihren Daten in der EU. Kein Excel-Flickwerk, keine Zettel.</w:t>
            </w:r>
          </w:p>
          <w:p>
            <w:pPr>
              <w:spacing w:after="140" w:line="276"/>
            </w:pPr>
            <w:r>
              <w:rPr>
                <w:color w:val="1A1A1A"/>
                <w:sz w:val="22"/>
                <w:szCs w:val="22"/>
              </w:rPr>
              <w:t xml:space="preserve">Wollen Sie sehen, wie das für Ihr Institut aussieht? Schreiben Sie mir – ich zeig’s Ihnen in einer kurzen Demo.</w:t>
            </w:r>
          </w:p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[E-Mail]   ·   [Telefon]   ·   [Website]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CE6" w:sz="4" w:space="8"/>
      </w:pBdr>
      <w:tabs>
        <w:tab w:val="right" w:pos="9026"/>
      </w:tabs>
    </w:pPr>
    <w:r>
      <w:rPr>
        <w:color w:val="6B7280"/>
        <w:sz w:val="16"/>
        <w:szCs w:val="16"/>
      </w:rPr>
      <w:t xml:space="preserve">[Markenname]   ·   [E-Mail]   ·   [Telefon]</w:t>
    </w:r>
    <w:r>
      <w:rPr>
        <w:sz w:val="16"/>
        <w:szCs w:val="16"/>
      </w:rPr>
      <w:t xml:space="preserve">	</w:t>
    </w:r>
    <w:r>
      <w:rPr>
        <w:color w:val="6B7280"/>
        <w:sz w:val="16"/>
        <w:szCs w:val="16"/>
      </w:rPr>
      <w:t xml:space="preserve">Seite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Arial" w:cs="Arial" w:eastAsia="Arial" w:hAnsi="Arial"/>
      <w:b/>
      <w:bCs/>
      <w:color w:val="1E3A5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2026-06-12T08:20:14.624Z</dcterms:created>
  <dcterms:modified xsi:type="dcterms:W3CDTF">2026-06-12T08:20:14.638Z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