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Отладка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 процесс отладки приложений gRPC с помощью grpcdebug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grpcdebug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— это инструмент командной строки в экосистеме gRPC, предназначенный для помощи разработчикам в отладке и устранении неполадок в службах gRPC. grpcdebug извлекает внутренние состояния библиотеки gRPC из приложения по протоколу gRPC и предоставляет удобный интерфейс для их просмотра. В настоящее время он поддерживает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Channelz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/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проверку работоспособности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 CSDS (также известные как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административные службы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). Другими словами, он может получать статистику о том, сколько RPC-запросов было отправлено или отклонено в заданном канале gRPC, он может проверять результаты разрешения адресов, он может выводить активную конфигурацию xDS, которая управляет маршрутизацией RPC-запросов.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Языковые примеры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Примечания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C ++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Перейдите на тестовый сервер, реализующий службы администрирования из grpcdebug docs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Ссылки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установка grpcdebug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быстрый запуск grpcdebug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4 июля 2024 года: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добавлена секция отладки с помощью grpcdebug (#1314) (2387f6a)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w15="http://schemas.microsoft.com/office/word/2012/wordml" xmlns:o="urn:schemas-microsoft-com:office:office" xmlns:v="urn:schemas-microsoft-com:vml" xmlns:w="http://schemas.openxmlformats.org/wordprocessingml/2006/main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7d86d21d-52f5-40ee-bc30-0c80bb04fb75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cp="http://schemas.openxmlformats.org/package/2006/metadata/core-properties" xmlns:xsi="http://www.w3.org/2001/XMLSchema-instance" xmlns:dc="http://purl.org/dc/elements/1.1/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