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ind w:start="-225" w:end="-225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Отмена бронирования</w:t>
      </w:r>
    </w:p>
    <w:p w:rsidR="006531B6" w:rsidRPr="007A3B62" w:rsidRDefault="006531B6" w:rsidP="00A350CE">
      <w:pPr>
        <w:pStyle w:val="lead"/>
        <w:shd w:val="clear" w:fill="FFFFFF"/>
        <w:spacing w:after="165" w:before="0"/>
        <w:ind w:start="-225" w:end="-225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как и когда отменять RPC.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ind w:start="-225" w:end="-22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Когда клиент gRPC больше не заинтересован в результате вызова RPC, он может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отменить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его, чтобы сообщить об этом серверу.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Истечение срока действия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 ошибки ввода-вывода также приводят к отмене. Когда вызов RPC отменяется, сервер должен остановить все текущие вычисления и завершить свою часть потока. Часто серверы также являются клиентами вышестоящих серверов, поэтому в идеале операция отмены должна распространяться на все текущие вычисления в системе, которые были инициированы первоначальным вызовом RPC клиентом.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Клиент может отменить RPC-запрос по нескольким причинам. Возможно, запрошенные данные стали неактуальными, или автор клиента хочет быть хорошим пользователем сервера и экономить вычислительные ресурсы.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ind w:start="-225" w:end="-22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Client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 1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 2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Cancel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Cancel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Client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 1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Server 2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Отмена RPC-вызова на стороне клиента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Клиент отменяет вызов RPC, вызывая метод на объекте вызова или, в некоторых языках, на сопутствующем объекте контекста. Хотя клиенты gRPC не предоставляют серверу дополнительные сведения о причине отмены вызова, вызов API отмены принимает строку с описанием причины, что приводит к исключению на стороне клиента и/или записи в журнале с указанием причины. Когда сервер получает уведомление об отмене вызова RPC, обработчик сервера, предоставляемый приложением, может быть занят обработкой запроса. Библиотека gRPC в целом не имеет механизма прерывания серверного обработчика, предоставляемого приложением, поэтому серверный обработчик должен координировать свои действия с библиотекой gRPC, чтобы обеспечить прекращение локальной обработки запроса. Поэтому, если RPC-запрос выполняется в течение длительного времени, его серверный обработчик должен периодически проверять, был ли отменён обслуживаемый им RPC-запрос, и если да, то прекратить обработку. Некоторые языки также поддерживают автоматическую отмену любых исходящих RPC-запросов, в то время как в других языках за это отвечает автор серверного обработчика.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ind w:start="-225" w:end="-22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CANCEL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CANCEL</w:t>
      </w:r>
      <w:r>
        <w:rPr>
          <w:sz w:val="0"/>
          <w:b w:val="0"/>
          <w:i w:val="0"/>
          <w:rFonts w:ascii="SFMono-Regular" w:hAnsi="SFMono-Regular" w:eastAsia="SFMono-Regular" w:cs="SFMono-Regular"/>
          <w:color w:val="333333"/>
        </w:rPr>
        <w:t>Server1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false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  <w:shd w:val="clear" w:fill="FFFFFF"/>
        </w:rPr>
        <w:t>true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perform some work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cancelled?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cancel upstream RPCs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exit RPC handler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Client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Server2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Примечания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Автоматически отменяет исходящие RPC-запросы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Автоматически отменяет исходящие RPC-запросы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Автоматически отменяет исходящие RPC-запросы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</w:t>
      </w:r>
    </w:p>
    <w:p w:rsidR="006531B6" w:rsidRPr="007A3B62" w:rsidRDefault="006531B6" w:rsidP="00A350CE">
      <w:pPr>
        <w:pStyle w:val="text-muted"/>
        <w:shd w:val="clear" w:fill="FFFFFF"/>
        <w:spacing w:before="49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29 февраля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используйте абсолютные пути вместо абсолютных URL (#1268) (4f733b4)</w:t>
      </w:r>
    </w:p>
    <w:p w:rsidR="006531B6" w:rsidRPr="007A3B62" w:rsidRDefault="006531B6" w:rsidP="00A350CE">
      <w:pPr>
        <w:pStyle w:val="col-12"/>
        <w:shd w:val="clear" w:fill="403F4C"/>
        <w:ind w:start="-225" w:end="-225"/>
        <w:jc w:val="center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>© 2025 Авторы gRPC</w:t>
      </w:r>
    </w:p>
    <w:p w:rsidR="006531B6" w:rsidRPr="007A3B62" w:rsidRDefault="006531B6" w:rsidP="00A350CE">
      <w:pPr>
        <w:pStyle w:val="col-12"/>
        <w:shd w:val="clear" w:fill="403F4C"/>
        <w:ind w:start="-225" w:end="-225"/>
        <w:jc w:val="center"/>
        <w:rPr>
          <w:sz w:val="21"/>
          <w:b w:val="0"/>
          <w:i w:val="0"/>
          <w:rFonts w:ascii="open sans" w:hAnsi="open sans" w:eastAsia="open sans" w:cs="open sans"/>
          <w:color w:val="FFFFFF"/>
        </w:rPr>
      </w:pPr>
      <w:r>
        <w:rPr>
          <w:sz w:val="21"/>
          <w:b w:val="0"/>
          <w:i w:val="0"/>
          <w:rFonts w:ascii="open sans" w:hAnsi="open sans" w:eastAsia="open sans" w:cs="open sans"/>
          <w:color w:val="379C9C"/>
          <w:u w:val="none"/>
        </w:rPr>
        <w:t>Условия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>|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379C9C"/>
          <w:u w:val="none"/>
        </w:rPr>
        <w:t>Конфиденциальность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>|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379C9C"/>
          <w:u w:val="none"/>
        </w:rPr>
        <w:t>Товарные знаки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>|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379C9C"/>
          <w:u w:val="none"/>
        </w:rPr>
        <w:t>Лицензия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>|</w:t>
      </w:r>
      <w:r>
        <w:rPr>
          <w:sz w:val="21"/>
          <w:b w:val="0"/>
          <w:i w:val="0"/>
          <w:rFonts w:ascii="open sans" w:hAnsi="open sans" w:eastAsia="open sans" w:cs="open sans"/>
          <w:color w:val="FFFFFF"/>
        </w:rPr>
        <w:t xml:space="preserve"> </w:t>
      </w:r>
      <w:r>
        <w:rPr>
          <w:sz w:val="21"/>
          <w:b w:val="0"/>
          <w:i w:val="0"/>
          <w:rFonts w:ascii="open sans" w:hAnsi="open sans" w:eastAsia="open sans" w:cs="open sans"/>
          <w:color w:val="379C9C"/>
          <w:u w:val="none"/>
        </w:rPr>
        <w:t>О нас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