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shd w:val="clear" w:fill="FFFFFF"/>
        <w:spacing w:lineRule="auto" w:line="312" w:before="0" w:after="206"/>
        <w:ind w:start="0" w:end="0"/>
        <w:jc w:val="start"/>
        <w:rPr>
          <w:sz w:val="44"/>
          <w:b w:val="0"/>
          <w:i w:val="0"/>
          <w:rFonts w:ascii="Roboto" w:hAnsi="Roboto" w:eastAsia="Roboto" w:cs="Roboto"/>
        </w:rPr>
      </w:pPr>
      <w:r>
        <w:rPr>
          <w:sz w:val="44"/>
          <w:b w:val="0"/>
          <w:i w:val="0"/>
          <w:rFonts w:ascii="Roboto" w:hAnsi="Roboto" w:eastAsia="Roboto" w:cs="Roboto"/>
        </w:rPr>
        <w:t>Идентификация торговых инструментов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Для точного определения различных торговых инструментов используются различные идентификаторы:</w:t>
      </w:r>
    </w:p>
    <w:p w:rsidR="006531B6" w:rsidRPr="007A3B62" w:rsidRDefault="006531B6" w:rsidP="00A350CE">
      <w:pPr>
        <w:shd w:val="clear" w:fill="FFFFFF"/>
        <w:spacing w:before="83" w:after="83"/>
        <w:ind w:start="0" w:end="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1"/>
          <w:i w:val="0"/>
          <w:rFonts w:ascii="Roboto" w:hAnsi="Roboto" w:eastAsia="Roboto" w:cs="Roboto"/>
          <w:color w:val="000000"/>
        </w:rPr>
        <w:t>Isin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(</w:t>
      </w:r>
      <w:r>
        <w:rPr>
          <w:sz w:val="24"/>
          <w:b w:val="0"/>
          <w:i w:val="1"/>
          <w:rFonts w:ascii="Roboto" w:hAnsi="Roboto" w:eastAsia="Roboto" w:cs="Roboto"/>
          <w:color w:val="000000"/>
        </w:rPr>
        <w:t>англ.: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International Security Identification Number) — международный идентификационный номер ценной бумаги, состоит из 12 символов цифр и латинских букв, которые начинаются, как правило, с 2-буквенного кода страны эмитента ценной бумаги.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br w:type="textWrapping"/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Структура ISIN: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br w:type="textWrapping"/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Первые два символа — буквы, определяющие код страны эмитента согласно стандарту ISO 3166-1 (например, российские ISIN-коды начинаются буквами RU).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br w:type="textWrapping"/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Далее следуют 9 букв и цифр национального идентификационного кода ценной бумаги (англ. National Securities Identifying Number, NSIN). Завершает код контрольная цифра.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br w:type="textWrapping"/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Например, ISIN акции TCS Group — US87238U2033.</w:t>
      </w:r>
    </w:p>
    <w:p w:rsidR="006531B6" w:rsidRPr="007A3B62" w:rsidRDefault="006531B6" w:rsidP="00A350CE">
      <w:pPr>
        <w:shd w:val="clear" w:fill="FFFFFF"/>
        <w:spacing w:before="83" w:after="83"/>
        <w:ind w:start="0" w:end="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1"/>
          <w:i w:val="0"/>
          <w:rFonts w:ascii="Roboto" w:hAnsi="Roboto" w:eastAsia="Roboto" w:cs="Roboto"/>
          <w:color w:val="000000"/>
        </w:rPr>
        <w:t>Ticker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— краткое (1-5 букв) наименование ценной бумаги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1"/>
          <w:rFonts w:ascii="Roboto" w:hAnsi="Roboto" w:eastAsia="Roboto" w:cs="Roboto"/>
          <w:color w:val="000000"/>
        </w:rPr>
        <w:t>на конкретной бирже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. Без указания биржи и режима торгов, по сути, является бессмысленным набором букв. Для этого на российских биржах MOEX и SPBE используется специальный признак "Режим торгов", который соответствует техническому термину "class_сode". Комбинация тикера и "class_code" является уникальным идентификатором. Отдельно же, только тикер, - нет.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br w:type="textWrapping"/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Например, тикер TCS Group Tinkoff - TCSG.</w:t>
      </w:r>
    </w:p>
    <w:p w:rsidR="006531B6" w:rsidRPr="007A3B62" w:rsidRDefault="006531B6" w:rsidP="00A350CE">
      <w:pPr>
        <w:shd w:val="clear" w:fill="FFFFFF"/>
        <w:spacing w:before="83" w:after="83"/>
        <w:ind w:start="0" w:end="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1"/>
          <w:i w:val="0"/>
          <w:rFonts w:ascii="Roboto" w:hAnsi="Roboto" w:eastAsia="Roboto" w:cs="Roboto"/>
          <w:color w:val="000000"/>
        </w:rPr>
        <w:t>FIGI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(</w:t>
      </w:r>
      <w:r>
        <w:rPr>
          <w:sz w:val="24"/>
          <w:b w:val="0"/>
          <w:i w:val="1"/>
          <w:rFonts w:ascii="Roboto" w:hAnsi="Roboto" w:eastAsia="Roboto" w:cs="Roboto"/>
          <w:color w:val="000000"/>
        </w:rPr>
        <w:t>англ.: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Financial Instrument Global Identifier) — глобальный идентификатор финансового инструмента. Представляет собой 12-символьный код из латинских букв и цифр, определяется как идентификатор ценной бумаги на торговой площадке (бирже), которая является некоторым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1"/>
          <w:rFonts w:ascii="Roboto" w:hAnsi="Roboto" w:eastAsia="Roboto" w:cs="Roboto"/>
          <w:color w:val="000000"/>
        </w:rPr>
        <w:t>"источником цен"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.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Важно: не всегда FIGI, присваемые в Тинькофф Инвестициях, совпадают с международным классификатором. Является устаревшим параметром и не рекомендуется к использованию.</w:t>
      </w:r>
    </w:p>
    <w:p w:rsidR="006531B6" w:rsidRPr="007A3B62" w:rsidRDefault="006531B6" w:rsidP="00A350CE">
      <w:pPr>
        <w:shd w:val="clear" w:fill="FFFFFF"/>
        <w:spacing w:lineRule="auto" w:line="336" w:before="264" w:after="106"/>
        <w:ind w:start="0" w:end="0"/>
        <w:jc w:val="start"/>
        <w:rPr>
          <w:sz w:val="34"/>
          <w:b w:val="0"/>
          <w:i w:val="0"/>
          <w:rFonts w:ascii="Roboto" w:hAnsi="Roboto" w:eastAsia="Roboto" w:cs="Roboto"/>
          <w:color w:val="000000"/>
        </w:rPr>
      </w:pPr>
      <w:r>
        <w:rPr>
          <w:sz w:val="34"/>
          <w:b w:val="0"/>
          <w:i w:val="0"/>
          <w:rFonts w:ascii="Roboto" w:hAnsi="Roboto" w:eastAsia="Roboto" w:cs="Roboto"/>
          <w:color w:val="000000"/>
        </w:rPr>
        <w:t>Идентификаторы из модели финансовых инструментов Тинькофф Инвестиций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В Тинькофф Инвестициях применяется иерархическая система идентификации финансовых объектов. На верхнем уровне находится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актив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- это по сути работающая на финансовом рынке компания, являющаяся эмитентом ценных бумаг. Примером актива может быть например Сбербанк.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У актива может несколько финансовых инструментов: акции (в т.ч. на разных биржах), облигации и т.д., каждая из подобных ценных бумаг называется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позиция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. То есть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1"/>
          <w:rFonts w:ascii="Roboto" w:hAnsi="Roboto" w:eastAsia="Roboto" w:cs="Roboto"/>
          <w:color w:val="000000"/>
        </w:rPr>
        <w:t>Позиция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- это совокупность актива, типа и торговой площадки(биржи).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Но одна и та же позиция может торговаться в разных режимах торгов и по разной цене: например: валюта разной лотности может иметь различную стоимость; или акцию можно продать за биржевом рынке, так и на внебиржевом (в торговле на выходных). Поэтому есть еще один идентификатор -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торговый инструмент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- он определяется как ценная бумага на торговой площадке (бирже) в указанном режиме торгов. Получить котировки можно только по торговому инструменту.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Подведем итоги,</w:t>
      </w:r>
    </w:p>
    <w:p w:rsidR="006531B6" w:rsidRPr="007A3B62" w:rsidRDefault="006531B6" w:rsidP="00A350CE">
      <w:pPr>
        <w:numPr>
          <w:ilvl w:val="0"/>
          <w:numId w:val="1"/>
        </w:numPr>
        <w:shd w:val="clear" w:fill="FFFFFF"/>
        <w:spacing w:before="165" w:after="83"/>
        <w:ind w:start="206" w:end="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идентификатор актива - это asset_uid</w:t>
      </w:r>
    </w:p>
    <w:p w:rsidR="006531B6" w:rsidRPr="007A3B62" w:rsidRDefault="006531B6" w:rsidP="00A350CE">
      <w:pPr>
        <w:numPr>
          <w:ilvl w:val="0"/>
          <w:numId w:val="1"/>
        </w:numPr>
        <w:shd w:val="clear" w:fill="FFFFFF"/>
        <w:spacing w:before="165" w:after="83"/>
        <w:ind w:start="206" w:end="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идентификатор позиции - это position_uid</w:t>
      </w:r>
    </w:p>
    <w:p w:rsidR="006531B6" w:rsidRPr="007A3B62" w:rsidRDefault="006531B6" w:rsidP="00A350CE">
      <w:pPr>
        <w:numPr>
          <w:ilvl w:val="0"/>
          <w:numId w:val="1"/>
        </w:numPr>
        <w:shd w:val="clear" w:fill="FFFFFF"/>
        <w:spacing w:before="165" w:after="0"/>
        <w:ind w:start="206" w:end="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идентификатор торгового инструмента - это instrument_uid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Для удобства клиентов, использовавших в своих системах устаревший идентификатор FIGI в многих методах API Тинькофф предусмотрено универсальное поле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Instrument_Id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- в которое можно передавать как FIGI, так и instrument_uid.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Вы можете получить идентификаторы конкретного инструмента с помощью метода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  <w:u w:val="none"/>
        </w:rPr>
        <w:t>FindInstrument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, передав в параметр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1"/>
          <w:rFonts w:ascii="Roboto" w:hAnsi="Roboto" w:eastAsia="Roboto" w:cs="Roboto"/>
          <w:color w:val="000000"/>
        </w:rPr>
        <w:t>query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известный идентификатор или название инструмента.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Использование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0"/>
          <w:b w:val="0"/>
          <w:i w:val="0"/>
          <w:rtl w:val="0"/>
          <w:rFonts w:ascii="var(--md-code-font-family" w:hAnsi="var(--md-code-font-family" w:eastAsia="var(--md-code-font-family" w:cs="var(--md-code-font-family"/>
          <w:color w:val="000000"/>
        </w:rPr>
        <w:t>Instrument_Id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является более предпочтительным, так как предполагает возможность использования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instrument_uid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или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FIGI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.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0"/>
          <w:i w:val="0"/>
          <w:rFonts w:ascii="Roboto" w:hAnsi="Roboto" w:eastAsia="Roboto" w:cs="Roboto"/>
          <w:color w:val="000000"/>
        </w:rPr>
      </w:pPr>
      <w:r>
        <w:rPr>
          <w:sz w:val="24"/>
          <w:b w:val="0"/>
          <w:i w:val="0"/>
          <w:rFonts w:ascii="Roboto" w:hAnsi="Roboto" w:eastAsia="Roboto" w:cs="Roboto"/>
          <w:color w:val="000000"/>
        </w:rPr>
        <w:t>На данный момент при передаче значения в параметр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0"/>
          <w:b w:val="0"/>
          <w:i w:val="0"/>
          <w:rtl w:val="0"/>
          <w:rFonts w:ascii="var(--md-code-font-family" w:hAnsi="var(--md-code-font-family" w:eastAsia="var(--md-code-font-family" w:cs="var(--md-code-font-family"/>
          <w:color w:val="000000"/>
        </w:rPr>
        <w:t>Instrument_Id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сначала выполняется поиск инструмента по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instrument_uid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, а потом уже по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FIGI</w:t>
      </w:r>
      <w:r>
        <w:rPr>
          <w:sz w:val="24"/>
          <w:b w:val="0"/>
          <w:i w:val="0"/>
          <w:rFonts w:ascii="Roboto" w:hAnsi="Roboto" w:eastAsia="Roboto" w:cs="Roboto"/>
          <w:color w:val="000000"/>
        </w:rPr>
        <w:t>.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1"/>
          <w:i w:val="0"/>
          <w:rFonts w:ascii="Roboto" w:hAnsi="Roboto" w:eastAsia="Roboto" w:cs="Roboto"/>
          <w:color w:val="000000"/>
        </w:rPr>
      </w:pPr>
      <w:r>
        <w:rPr>
          <w:sz w:val="24"/>
          <w:b w:val="1"/>
          <w:i w:val="0"/>
          <w:rFonts w:ascii="Roboto" w:hAnsi="Roboto" w:eastAsia="Roboto" w:cs="Roboto"/>
          <w:color w:val="000000"/>
        </w:rPr>
        <w:t>Основным идентификатором торгового инструмента при работе с TINKOFF INVEST API является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 xml:space="preserve"> </w:t>
      </w:r>
      <w:r>
        <w:rPr>
          <w:sz w:val="24"/>
          <w:b w:val="1"/>
          <w:i w:val="1"/>
          <w:rFonts w:ascii="Roboto" w:hAnsi="Roboto" w:eastAsia="Roboto" w:cs="Roboto"/>
          <w:color w:val="000000"/>
        </w:rPr>
        <w:t>UID</w:t>
      </w:r>
      <w:r>
        <w:rPr>
          <w:sz w:val="24"/>
          <w:b w:val="1"/>
          <w:i w:val="0"/>
          <w:rFonts w:ascii="Roboto" w:hAnsi="Roboto" w:eastAsia="Roboto" w:cs="Roboto"/>
          <w:color w:val="000000"/>
        </w:rPr>
        <w:t>, так как, например, в опционах идентификатор FIGI не поддерживае.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1"/>
          <w:i w:val="0"/>
          <w:rFonts w:ascii="Roboto" w:hAnsi="Roboto" w:eastAsia="Roboto" w:cs="Roboto"/>
          <w:color w:val="000000"/>
        </w:rPr>
      </w:pPr>
      <w:r>
        <w:rPr>
          <w:sz w:val="24"/>
          <w:b w:val="1"/>
          <w:i w:val="0"/>
          <w:rFonts w:ascii="Roboto" w:hAnsi="Roboto" w:eastAsia="Roboto" w:cs="Roboto"/>
          <w:color w:val="000000"/>
        </w:rPr>
        <w:t>_______</w:t>
      </w:r>
    </w:p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Учебное пособие по основам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Базовое учебное пособие по gRPC-web.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этом руководстве представлено базовое описание использования gRPC-Web в браузерах.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Ознакомившись с этим примером, вы узнаете, как: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Определите службу в файле .proto.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Сгенерируйте клиентский код, используя компилятор буфера протокола.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Используйте gRPC-Web API, чтобы написать простой клиент для вашего сервиса.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Это предполагает мимолетное знакомство 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буферами протокола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Зачем использовать gRPC и gRPC-Web?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 помощью gRPC вы можете один раз определить свой сервис в файле .proto и реализовать клиентов и серверы на любом из поддерживаемых gRPC языков, которые, в свою очередь, могут работать в самых разных средах — от серверов в крупном центре обработки данных до вашего собственного планшета. Все сложности взаимодействия между разными языками и средами берёт на себя gRPC. Вы также получаете все преимущества работы с буферами протокола, включая эффективную сериализацию, простой IDL и лёгкое обновление интерфейса. gRPC-Web позволяет получать доступ к сервисам gRPC, созданным таким образом, из браузеров с помощью стандартного API.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Определите услугу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Первым шагом при создании сервиса gRPC является определение методов сервиса и типов сообщений запросов и ответов с помощью буферов протокола. В этом примере мы определяем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EchoService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файле с именем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379C9C"/>
          <w:u w:val="none"/>
          <w:shd w:val="clear" w:fill="000000"/>
        </w:rPr>
        <w:t>echo.proto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Дополнительную информацию о буферах протокола и синтаксисе proto3 можно найти 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документации по protobuf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message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AA88"/>
        </w:rPr>
        <w:t>EchoRequest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7788"/>
        </w:rPr>
        <w:t>string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message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FF6600"/>
        </w:rPr>
        <w:t>1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message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AA88"/>
        </w:rPr>
        <w:t>EchoResponse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7788"/>
        </w:rPr>
        <w:t>string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message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FF6600"/>
        </w:rPr>
        <w:t>1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service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EchoService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Echo(EchoRequest)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returns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(EchoResponse);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Реализовать Внутренний сервер gRPC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Далее мы реализуем наш интерфейс EchoService с помощью Node в серверной части gRPC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EchoServer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Это позволит обрабатывать запросы от клиентов. Подробности см. в файле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379C9C"/>
          <w:u w:val="none"/>
          <w:shd w:val="clear" w:fill="000000"/>
        </w:rPr>
        <w:t>node-server/server.js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Вы можете реализовать сервер на любом языке, поддерживаемом gRPC. Пожалуйста, ознакомьтесь 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главной страницей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получения более подробной информации.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function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doEcho(call, callback)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callback(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null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{message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call.request.message});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Настройте прокси-сервер Envoy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этом примере мы будем использовать прокси-сервер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Envoy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переадресации запроса браузера gRPC на серверную часть. Полный файл конфигурации можно посмотреть 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envoy.yaml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Чтобы пересылать запросы gRPC на сервер, нам нужен такой блок: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admin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address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socket_address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{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address: 0.0.0.0, port_value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FF6600"/>
        </w:rPr>
        <w:t>9901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static_resources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listeners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name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listener_0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address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socket_address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{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address: 0.0.0.0, port_value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FF6600"/>
        </w:rPr>
        <w:t>8080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filter_chains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filters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name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envoy.http_connection_manager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typed_config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 xml:space="preserve">"@type":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type.googleapis.com/envoy.extensions.filters.network.http_connection_manager.v3.HttpConnectionManager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codec_type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auto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stat_prefix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ingress_http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route_config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name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local_route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virtual_hosts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name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local_service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domains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[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"*"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]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routes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match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{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prefix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"/"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route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{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cluster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echo_service 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http_filters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name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envoy.grpc_web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typed_config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 xml:space="preserve">"@type":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type.googleapis.com/envoy.extensions.filters.http.grpc_web.v3.GrpcWeb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name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envoy.filters.http.router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typed_config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 xml:space="preserve">"@type":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type.googleapis.com/envoy.extensions.filters.http.router.v3.Router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clusters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name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echo_service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connect_timeout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FF6600"/>
        </w:rPr>
        <w:t>0.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25s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type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LOGICAL_DNS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typed_extension_protocol_options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envoy.extensions.upstreams.http.v3.HttpProtocolOptions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 xml:space="preserve">"@type":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type.googleapis.com/envoy.extensions.upstreams.http.v3.HttpProtocolOptions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explicit_http_config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http2_protocol_options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{}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lb_policy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ROUND_ROBIN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load_assignment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cluster_name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echo_service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endpoints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lb_endpoints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-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endpoint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address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socket_address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address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node-server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         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port_value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BBBBBB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FF6600"/>
        </w:rPr>
        <w:t>9090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Возможно, вам также потребуется настроить CORS, чтобы браузер мог запрашивать контент из разных источников.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этом простом примере браузер отправляет запросы gRPC на порт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:8080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Envoy перенаправляет запрос на сервер gRPC, прослушивающий порт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:9090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Генерируйте сообщения Protobuf и заглушку клиента Обслуживания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Чтобы сгенерировать классы сообщений protobuf из нашего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echo.proto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выполните следующую команду: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protoc -I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$DIR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echo.proto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CC3300"/>
        </w:rPr>
        <w:t>\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--js_out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import_style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commonjs: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$OUT_DIR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Опция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import_style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переданная флагу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--js_out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гарантирует, что в сгенерированных файлах будут присутствовать операторы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require()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стиле CommonJS.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Чтобы сгенерировать заглушку клиента gRPC-Web, сначала вам понадобится плагин gRPC-Web protoc. Чтобы скомпилировать плагин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protoc-gen-grpc-web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вам нужно запустить его из корневого каталога репозитория: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336666"/>
        </w:rPr>
        <w:t>cd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grpc-web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sudo make install-plugin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Чтобы сгенерировать файл-заглушку клиента службы, выполните эту команду: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protoc -I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$DIR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echo.proto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CC3300"/>
        </w:rPr>
        <w:t>\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--grpc-web_out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import_style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commonjs,mode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grpcwebtext: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$OUT_DIR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--grpc-web_out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приведенном выше параметре: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mode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может быть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grpcwebtext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(по умолчанию) или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grpcweb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import_style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может быть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closure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(по умолчанию) или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commonjs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Наша команда по умолчанию генерирует заглушку клиента для файла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echo_grpc_web_pb.js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Написать клиентский код JS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Теперь вы готовы написать клиентский код на JS. Поместите его 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client.js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файл.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{EchoRequest, EchoResponse}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require(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'./echo_pb.js'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{EchoServiceClient}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require(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'./echo_grpc_web_pb.js'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echoService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EchoServiceClient(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'http://localhost:8080'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request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EchoRequest();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request.setMessage(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'Hello World!'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echoService.echo(request, {},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function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(err, response)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...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Вам понадобится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package.json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файл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"name"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"grpc-web-commonjs-example"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"dependencies"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"google-protobuf"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"^3.6.1"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"grpc-web"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"^0.4.0"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},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"devDependencies"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"browserify"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"^16.2.2"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"webpack"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"^4.16.5"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"webpack-cli"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"^3.1.0"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Скомпилируйте библиотеку JS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Наконец, собрав всё это воедино, мы можем скомпилировать все необходимые JS-файлы в одну библиотеку JS, которую можно использовать в браузере.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npm install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npx webpack client.js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41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Теперь встроите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dist/main.js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свой проект и посмотрите на него в действии!</w:t>
      </w: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25 ноября 2024 года: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функция: перенос индикатора строки $ в scss (#1354) (ab8b3af)</w:t>
      </w:r>
    </w:p>
    <w:p w:rsidR="006531B6" w:rsidRPr="007A3B62" w:rsidRDefault="006531B6" w:rsidP="00A350CE">
      <w:pPr>
        <w:shd w:val="clear" w:fill="FFFFFF"/>
        <w:spacing w:after="240"/>
        <w:jc w:val="start"/>
        <w:rPr>
          <w:sz w:val="24"/>
          <w:b w:val="1"/>
          <w:i w:val="0"/>
          <w:rFonts w:ascii="Roboto" w:hAnsi="Roboto" w:eastAsia="Roboto" w:cs="Roboto"/>
          <w:color w:val="000000"/>
        </w:rPr>
      </w:pPr>
      <w:r>
        <w:rPr>
          <w:sz w:val="24"/>
          <w:b w:val="1"/>
          <w:i w:val="0"/>
          <w:rFonts w:ascii="Roboto" w:hAnsi="Roboto" w:eastAsia="Roboto" w:cs="Roboto"/>
          <w:color w:val="000000"/>
        </w:rPr>
        <w:t>____________________----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w15="http://schemas.microsoft.com/office/word/2012/wordml" xmlns:m="http://schemas.openxmlformats.org/officeDocument/2006/math" xmlns:w="http://schemas.openxmlformats.org/wordprocessingml/2006/main" xmlns:v="urn:schemas-microsoft-com:vml">
  <w15:chartTrackingRefBased/>
  <w15:docId w15:val="{9461E328-93DC-9D4C-AD02-F8EA458366DF}"/>
  <w:zoom w:percent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a394e531-4b0d-41f6-8e82-d1fd17d12f04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