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Разрешение пользовательского имени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Объясняет, как происходит стандартное разрешение имён, как работает пользовательский интерфейс разрешения имён и как написать реализацию.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Разрешение имён — это, по сути, обнаружение сервисов. При отправке запроса gRPC клиент должен определить IP-адрес имени сервиса. Разрешение имён часто считают тем же, что 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DNS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Однако на практике DNS обычно дополняется расширениями или полностью заменяется для разрешения имён.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отправке запроса с помощью клиента gRPC по умолчанию используется разрешение DNS-имен. Однако могут использоваться и другие механизмы разрешения имён: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Преобразователь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Примечания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DNS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grpc.io:50051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По умолчанию предполагается использование DNS.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DNS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dns:///grpc.io:50051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Дополнительная косая черта используется для указания полномочий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Доменный Сокет Unix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uds:///run/containerd/containerd.sock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xDS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xds:///wallet.grpcwallet.io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IPv4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ipv4:198.51.100.123:50051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Поддерживается только на некоторых языках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Тройные косые черты выше (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08989"/>
        </w:rPr>
        <w:t>///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) могут показаться вам незнакомыми, если вы привыкли к двойным косым чертам в HTTP, например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1"/>
          <w:b w:val="0"/>
          <w:i w:val="0"/>
          <w:rFonts w:ascii="SFMono-Regular" w:hAnsi="SFMono-Regular" w:eastAsia="SFMono-Regular" w:cs="SFMono-Regular"/>
          <w:color w:val="308989"/>
        </w:rPr>
        <w:t>https://grpc.io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Эти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целевые строки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соответствуют формату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URI-адресов RFC-3986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Строка, следующая за первыми двумя косыми чертами и предшествующая третьей (если она вообще есть), — это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владелец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Строка-владелец идентифицирует сервер, содержащий URI-адреса всех ресурсов. В случае обычного HTTP-запроса владельцем URI является сервер, которому будет отправлен запрос. В других случаях полномочным органом будет сервер разрешения имён, а сам ресурс будет находиться на другом сервере. Некоторым серверам разрешения имён полномочный орган не нужен. В этом случае строка полномочного органа остаётся пустой, что приводит к появлению трёх косых черт подряд.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нескольких языках есть интерфейс, позволяющий пользователю определять собственные преобразователи имён, чтобы вы могли указать, как преобразовывать любое заданное имя. После регистрации преобразователь имён со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схемой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my-resolver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будет использоваться, когда целевая строка начинается 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my-resolver: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Например, запросы 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my-resolver:///my-service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теперь будут использовать реализацию преобразователя имён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my-resolver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Распознаватели пользовательских Имен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можете рассмотреть возможность использования пользовательского преобразователя имён, если хотите дополнить или заменить DNS для обнаружения сервисов. Например, в прошлом этот интерфейс использовался для поиска имён сервисов с помощью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Apache Zookeeper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Он также использовался для прямого взаимодействия с сервером API Kubernetes для поиска сервисов на основе безголовых ресурсов.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One reason why it might be particularly useful to use a custom name resolver rather than standard DNS is that this interface is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reactive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Within standard DNS, a client looks up the address for a particular service at the beginning of the connection and maintains its connection to that address for the lifetime of the connection. However, custom name resolvers may be watch-based. That is, they can receive updates from the name server over time and therefore respond intelligently to backend failure as well as backend scale-ups and backend scale-downs.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Кроме того, пользовательский преобразователь имён может предоставить клиентскому соединению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конфигурацию сервиса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Конфигурация сервиса — это объект JSON, который определяет произвольную конфигурацию, указывающую, как трафик должен направляться к определённому сервису и распределяться между его экземплярами. В самом простом случае это можно использовать для указания того, что конкретный сервис должен использовать циклическую политику балансировки нагрузки, а не выбирать первый вариант. Однако при использовании пользовательского преобразователя имён в сочетании с произвольной конфигурацией сервиса 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379C9C"/>
          <w:u w:val="none"/>
        </w:rPr>
        <w:t>пользовательской политикой балансировки нагрузки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можно создать очень сложные системы управления трафиком, такие как xDS.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Срок службы целевой строки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Хотя точный интерфейс пользовательских преобразователей имён различается в зависимости от языка, общая структура одинакова. Клиент регистрирует реализацию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1"/>
          <w:rFonts w:ascii="open sans" w:hAnsi="open sans" w:eastAsia="open sans" w:cs="open sans"/>
          <w:color w:val="222222"/>
        </w:rPr>
        <w:t>провайдера преобразователей имён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глобальном реестре процесса незадолго до запуска процесса. Библиотека gRPC вызывает провайдера преобразователей имён с целевыми строками, предназначенными для пользовательского преобразователя имён. Учитывая целевую строку, провайдер преобразователей имён возвращает экземпляр преобразователя имён, который взаимодействует с клиентским подключением, чтобы направить запрос в соответствии с целевой строкой.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Client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gRPC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NameResolverProvider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NameResolver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Request to my-resolver:///my-service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requests NameResolver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returns NameResolver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delegates resolution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addresses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Client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gRPC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NameResolverProvider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NameResolver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Не поддерживается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Не поддерживается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8 июня 2023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первый черновик документации по пользовательскому распознавателю имен (#1139) (4f03598)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o="urn:schemas-microsoft-com:office:office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="http://purl.org/dc/elements/1.1/" xmlns:dcterms="http://purl.org/dc/terms/" xmlns:cp="http://schemas.openxmlformats.org/package/2006/metadata/core-properties" xmlns:xsi="http://www.w3.org/2001/XMLSchema-instance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