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Pretty_prostate_observed_IR_results_table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rates of prostate cancer diagnoses in each of the time periods, stratified by overall,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Pre-COVID (Jan 2017-Feb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 (March 2020-June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1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 (Nov 2020-Dec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 (Jan 2021-Feb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 (March 2021-June 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 (July 2021-Dec 2021)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6.2(6.1 to 6.3)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4.4(4.1 to 4.8)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(4.8 to 5.2)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4.5(4.1 to 4.9)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5.1(4.6 to 5.7)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5.1(4.5 to 5.7)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5.6(5.2 to 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5(4.6 to 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12.5(12.3 to 12.8)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8.9(8.2 to 9.7)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(9.7 to 10.5)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9.1(8.3 to 9.8)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10.3(9.2 to 11.5)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10.2(9.1 to 11.4)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11.3(10.4 to 12.1)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10.1(9.4 to 10.8)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4.8(4.5 to 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2.8(2.1 to 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(2.7 to 3.5)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2.3(1.7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3.2(2.2 to 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3.7(2.5 to 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3.9(3.1 to 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2.8(2.1 to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45.5(44.4 to 46.7)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33.1(30.1 to 36.3)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(34.3 to 37.5)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32.7(29.7 to 35.9)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37.3(32.7 to 42.4)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34.7(30.2 to 39.6)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39.3(35.9 to 43)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35.8(32.9 to 38.8)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55.5(52.9 to 58.3)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34.1(27.8 to 41.5)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 (40.9 to 48.8)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44.6(37 to 53.2)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47.7(36.5 to 61.3)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44(33.6 to 56.7)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44.4(36.7 to 53.2)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44.1(37 to 52.2)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2023-03-27T17:02:29Z</dcterms:modified>
  <cp:category/>
</cp:coreProperties>
</file>