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3" w:name="Xbed9c954beee9145148378c4bdd124c45de2ba5"/>
    <w:p>
      <w:pPr>
        <w:pStyle w:val="Heading1"/>
      </w:pPr>
      <w:r>
        <w:t xml:space="preserve">Triangulating evidence of the cause-effect relationship between sclerostin inhibition and cardiovascular outcomes</w:t>
      </w:r>
    </w:p>
    <w:bookmarkStart w:id="62" w:name="figures"/>
    <w:p>
      <w:pPr>
        <w:pStyle w:val="Heading2"/>
      </w:pPr>
      <w:r>
        <w:t xml:space="preserve">Figures</w:t>
      </w:r>
    </w:p>
    <w:p>
      <w:pPr>
        <w:pStyle w:val="FirstParagraph"/>
      </w:pPr>
      <w:r>
        <w:t xml:space="preserve">Authors: Marta Alcalde-Herraiz, Junqing Xie,</w:t>
      </w:r>
    </w:p>
    <w:p>
      <w:pPr>
        <w:pStyle w:val="BodyText"/>
      </w:pPr>
      <w:r>
        <w:drawing>
          <wp:inline>
            <wp:extent cx="5727700" cy="3682092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igures_files/figure-docx/unnamed-chunk-2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82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Figure 1.</w:t>
      </w:r>
      <w:r>
        <w:t xml:space="preserve"> </w:t>
      </w:r>
      <w:r>
        <w:t xml:space="preserve">Heterogeneity between databases.</w:t>
      </w:r>
    </w:p>
    <w:p>
      <w:r>
        <w:br w:type="page"/>
      </w:r>
    </w:p>
    <w:p>
      <w:pPr>
        <w:pStyle w:val="BodyText"/>
      </w:pPr>
      <w:r>
        <w:drawing>
          <wp:inline>
            <wp:extent cx="5727700" cy="3579812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Figures_files/figure-docx/unnamed-chunk-4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27700" cy="357981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s_files/figure-docx/unnamed-chunk-4-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b/>
        </w:rPr>
        <w:t xml:space="preserve">Figure 2.</w:t>
      </w:r>
      <w:r>
        <w:t xml:space="preserve"> </w:t>
      </w:r>
      <w:r>
        <w:t xml:space="preserve">Manhattan plot of the meta-analysed SNPs (fixed-effects method).</w:t>
      </w:r>
      <w:r>
        <w:t xml:space="preserve"> </w:t>
      </w:r>
      <w:r>
        <w:rPr>
          <w:bCs/>
          <w:b/>
        </w:rPr>
        <w:t xml:space="preserve">(A)</w:t>
      </w:r>
      <w:r>
        <w:t xml:space="preserve"> </w:t>
      </w:r>
      <w:r>
        <w:t xml:space="preserve">Manhattan plot of the whole chromosome 17. Dark blue dots correspond to SNPs within the SOST gene.</w:t>
      </w:r>
      <w:r>
        <w:t xml:space="preserve"> </w:t>
      </w:r>
      <w:r>
        <w:rPr>
          <w:bCs/>
          <w:b/>
        </w:rPr>
        <w:t xml:space="preserve">(B)</w:t>
      </w:r>
      <w:r>
        <w:t xml:space="preserve"> </w:t>
      </w:r>
      <w:r>
        <w:t xml:space="preserve">Manhattan plot from ±600kb of the start/end of the SOST gene. Dark blued dots correspond to SNPs within the SOST gene. Dark-light blue dots correspond to SNPs within ±100kb from the start/end of the SOST gene. Light blue dots correspond to SNPs withi ±500kb from the start/end of the SOST gene.</w:t>
      </w:r>
      <w:r>
        <w:drawing>
          <wp:inline>
            <wp:extent cx="5727700" cy="357981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Figures_files/figure-docx/unnamed-chunk-4-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27700" cy="3579812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Figures_files/figure-docx/unnamed-chunk-4-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b/>
        </w:rPr>
        <w:t xml:space="preserve">Figure 3.</w:t>
      </w:r>
      <w:r>
        <w:t xml:space="preserve"> </w:t>
      </w:r>
      <w:r>
        <w:t xml:space="preserve">Manhattan plot of the meta-analysed SNPs (random-effects method).</w:t>
      </w:r>
      <w:r>
        <w:t xml:space="preserve"> </w:t>
      </w:r>
      <w:r>
        <w:rPr>
          <w:bCs/>
          <w:b/>
        </w:rPr>
        <w:t xml:space="preserve">(A)</w:t>
      </w:r>
      <w:r>
        <w:t xml:space="preserve"> </w:t>
      </w:r>
      <w:r>
        <w:t xml:space="preserve">Manhattan plot of the whole chromosome 17. Dark blue dots correspond to SNPs within the SOST gene.</w:t>
      </w:r>
      <w:r>
        <w:t xml:space="preserve"> </w:t>
      </w:r>
      <w:r>
        <w:rPr>
          <w:bCs/>
          <w:b/>
        </w:rPr>
        <w:t xml:space="preserve">(B)</w:t>
      </w:r>
      <w:r>
        <w:t xml:space="preserve"> </w:t>
      </w:r>
      <w:r>
        <w:t xml:space="preserve">Manhattan plot from ±600kb of the start/end of the SOST gene. Dark blued dots correspond to SNPs within the SOST gene. Dark-light blue dots correspond to SNPs within ±100kb from the start/end of the SOST gene. Light blue dots correspond to SNPs withi ±500kb from the start/end of the SOST gene.</w:t>
      </w:r>
    </w:p>
    <w:p>
      <w:pPr>
        <w:pStyle w:val="BodyText"/>
      </w:pPr>
      <w:r>
        <w:drawing>
          <wp:inline>
            <wp:extent cx="5727700" cy="357981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Figures_files/figure-docx/unnamed-chunk-5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27700" cy="3579812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Figures_files/figure-docx/unnamed-chunk-5-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b/>
        </w:rPr>
        <w:t xml:space="preserve">Figure 4 .</w:t>
      </w:r>
      <w:r>
        <w:t xml:space="preserve"> </w:t>
      </w:r>
      <w:r>
        <w:t xml:space="preserve">SNPs effect size on the positive control outcomes.</w:t>
      </w:r>
      <w:r>
        <w:t xml:space="preserve"> </w:t>
      </w:r>
      <w:r>
        <w:rPr>
          <w:bCs/>
          <w:b/>
        </w:rPr>
        <w:t xml:space="preserve">(A)</w:t>
      </w:r>
      <w:r>
        <w:t xml:space="preserve"> </w:t>
      </w:r>
      <w:r>
        <w:t xml:space="preserve">Positive control outcome is bone mineral density.</w:t>
      </w:r>
      <w:r>
        <w:t xml:space="preserve"> </w:t>
      </w:r>
      <w:r>
        <w:rPr>
          <w:bCs/>
          <w:b/>
        </w:rPr>
        <w:t xml:space="preserve">(B)</w:t>
      </w:r>
      <w:r>
        <w:t xml:space="preserve"> </w:t>
      </w:r>
      <w:r>
        <w:t xml:space="preserve">Positive control outcome is hip fracture risk.</w:t>
      </w:r>
    </w:p>
    <w:p>
      <w:pPr>
        <w:pStyle w:val="BodyText"/>
      </w:pPr>
      <w:r>
        <w:drawing>
          <wp:inline>
            <wp:extent cx="5727700" cy="3579812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Figures_files/figure-docx/unnamed-chunk-7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27700" cy="3579812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gures_files/figure-docx/unnamed-chunk-7-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27700" cy="3579812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Figures_files/figure-docx/unnamed-chunk-7-3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27700" cy="3579812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Figures_files/figure-docx/unnamed-chunk-7-4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27700" cy="357981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Figures_files/figure-docx/unnamed-chunk-7-5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27700" cy="3579812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Figures_files/figure-docx/unnamed-chunk-7-6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727700" cy="3579812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Figures_files/figure-docx/unnamed-chunk-7-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End w:id="63"/>
    <w:sectPr w:rsidR="008A4108" w:rsidRPr="00121E27">
      <w:pgSz w:h="16838" w:w="11906"/>
      <w:pgMar w:bottom="1440" w:footer="708" w:gutter="0" w:header="708" w:left="1440" w:right="1440" w:top="144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10"/>
  <w:proofState w:grammar="clean"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kern w:val="2"/>
        <w:sz w:val="22"/>
        <w:szCs w:val="22"/>
        <w:lang w:bidi="ar-SA" w:eastAsia="en-US" w:val="en-GB"/>
        <w14:ligatures w14:val="standardContextual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A4108"/>
    <w:pPr>
      <w:keepNext/>
      <w:keepLines/>
      <w:spacing w:after="0" w:before="240"/>
      <w:outlineLvl w:val="0"/>
    </w:pPr>
    <w:rPr>
      <w:rFonts w:ascii="Calibri" w:cstheme="majorBidi" w:eastAsiaTheme="majorEastAsia" w:hAnsi="Calibri"/>
      <w:color w:themeColor="accent1" w:themeShade="BF" w:val="2F5496"/>
      <w:sz w:val="36"/>
      <w:szCs w:val="3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8A4108"/>
    <w:pPr>
      <w:keepNext/>
      <w:keepLines/>
      <w:spacing w:after="0" w:before="40"/>
      <w:outlineLvl w:val="1"/>
    </w:pPr>
    <w:rPr>
      <w:rFonts w:ascii="Calibri" w:cstheme="majorBidi" w:eastAsiaTheme="majorEastAsia" w:hAnsi="Calibri"/>
      <w:color w:themeColor="accent1" w:themeShade="BF" w:val="2F5496"/>
      <w:sz w:val="30"/>
      <w:szCs w:val="26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A4108"/>
    <w:rPr>
      <w:rFonts w:ascii="Calibri" w:cstheme="majorBidi" w:eastAsiaTheme="majorEastAsia" w:hAnsi="Calibri"/>
      <w:color w:themeColor="accent1" w:themeShade="BF" w:val="2F5496"/>
      <w:sz w:val="36"/>
      <w:szCs w:val="32"/>
    </w:rPr>
  </w:style>
  <w:style w:customStyle="1" w:styleId="Heading2Char" w:type="character">
    <w:name w:val="Heading 2 Char"/>
    <w:basedOn w:val="DefaultParagraphFont"/>
    <w:link w:val="Heading2"/>
    <w:uiPriority w:val="9"/>
    <w:rsid w:val="008A4108"/>
    <w:rPr>
      <w:rFonts w:ascii="Calibri" w:cstheme="majorBidi" w:eastAsiaTheme="majorEastAsia" w:hAnsi="Calibri"/>
      <w:color w:themeColor="accent1" w:themeShade="BF" w:val="2F5496"/>
      <w:sz w:val="30"/>
      <w:szCs w:val="26"/>
    </w:rPr>
  </w:style>
  <w:style w:styleId="Title" w:type="paragraph">
    <w:name w:val="Title"/>
    <w:basedOn w:val="Heading1"/>
    <w:next w:val="Normal"/>
    <w:link w:val="TitleChar"/>
    <w:uiPriority w:val="10"/>
    <w:qFormat/>
    <w:rsid w:val="008A4108"/>
    <w:pPr>
      <w:spacing w:line="240" w:lineRule="auto"/>
      <w:contextualSpacing/>
    </w:pPr>
    <w:rPr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8A4108"/>
    <w:rPr>
      <w:rFonts w:ascii="Calibri" w:cstheme="majorBidi" w:eastAsiaTheme="majorEastAsia" w:hAnsi="Calibri"/>
      <w:color w:themeColor="accent1" w:themeShade="BF" w:val="2F5496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8A4108"/>
    <w:pPr>
      <w:numPr>
        <w:ilvl w:val="1"/>
      </w:numPr>
    </w:pPr>
    <w:rPr>
      <w:rFonts w:eastAsiaTheme="minorEastAsia"/>
      <w:color w:themeColor="accent1" w:themeShade="BF" w:val="2F5496"/>
      <w:spacing w:val="15"/>
      <w:sz w:val="36"/>
    </w:rPr>
  </w:style>
  <w:style w:customStyle="1" w:styleId="SubtitleChar" w:type="character">
    <w:name w:val="Subtitle Char"/>
    <w:basedOn w:val="DefaultParagraphFont"/>
    <w:link w:val="Subtitle"/>
    <w:uiPriority w:val="11"/>
    <w:rsid w:val="008A4108"/>
    <w:rPr>
      <w:rFonts w:eastAsiaTheme="minorEastAsia"/>
      <w:color w:themeColor="accent1" w:themeShade="BF" w:val="2F5496"/>
      <w:spacing w:val="15"/>
      <w:sz w:val="36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2023-11-08T15:28:43Z</dcterms:created>
  <dcterms:modified xsi:type="dcterms:W3CDTF">2023-11-08T15:28:43Z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xecute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