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bed9c954beee9145148378c4bdd124c45de2ba5"/>
    <w:p>
      <w:pPr>
        <w:pStyle w:val="Heading1"/>
      </w:pPr>
      <w:r>
        <w:t xml:space="preserve">Triangulating evidence of the cause-effect relationship between sclerostin inhibition and cardiovascular outcomes</w:t>
      </w:r>
    </w:p>
    <w:bookmarkStart w:id="20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Authors: Marta Alcalde-Herraiz, Junqing Xie,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430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gridSpan w:val="7"/>
            <w:tcBorders>
              <w:bottom w:val="none" w:sz="0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gridSpan w:val="7"/>
            <w:tcBorders>
              <w:bottom w:val="none" w:sz="0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</w:tr>
      <w:tr>
        <w:trPr>
          <w:trHeight w:val="473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 (kb)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Pval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Instruments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 (kb)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Pval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Instruments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SNP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0.84, 1.02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4.8e-92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3.9e-92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3.9e-92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6.9e-82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1.2e-32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3.6e-92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430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gridSpan w:val="7"/>
            <w:tcBorders>
              <w:bottom w:val="none" w:sz="0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gridSpan w:val="7"/>
            <w:tcBorders>
              <w:bottom w:val="none" w:sz="0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</w:tr>
      <w:tr>
        <w:trPr>
          <w:trHeight w:val="473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 (kb)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Pval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Instruments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 (kb)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Pval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Instruments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SNP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0.09, 0.37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0.05, 0.28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0.08, 0.29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0.05, 0.28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0.09, 0.32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0.09, 0.32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0.12, 0.42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0.08, 0.36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0.11, 0.36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9.4e-08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0.08, 0.36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6.6e-06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SNP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1.02, 1.66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1.13, 2.01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1.13, 2.01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1.09, 1.72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0.99, 1.47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0.9, 1.5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SNP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0.9, 1.83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0.95, 2.25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0.96, 1.77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0.82, 1.78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SNP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0.95, 1.85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0.75, 1.65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0.87, 1.54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0.87, 1.81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SNP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t2dm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SNP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1.15, 2.13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1.26, 2.63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1.13, 1.99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1.26, 2.63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1.09, 1.84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1.15, 2.22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1.09, 1.84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1.15, 2.22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1.15, 2.22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1.14, 2.01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t2dm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1.11, 1.84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1.16, 2.24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i2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1e-06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rs7220711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1.1e-09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rs7220711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1.1e-09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rs71382995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rs7220711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rs66838809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rs8073524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rs7220711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rs66838809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rs8073524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rs7220711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rs66838809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rs8073524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rs80107551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rs6503468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i2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1e-06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rs2342312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7.7e-07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rs2342312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rs2342312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rs8073524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rs2342312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rs8073524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rs2342312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Pruning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= 0.7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rs8073524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bookmarkEnd w:id="20"/>
    <w:bookmarkEnd w:id="21"/>
    <w:sectPr w:rsidR="008A4108" w:rsidRPr="00121E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GB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A4108"/>
    <w:pPr>
      <w:keepNext/>
      <w:keepLines/>
      <w:spacing w:after="0" w:before="240"/>
      <w:outlineLvl w:val="0"/>
    </w:pPr>
    <w:rPr>
      <w:rFonts w:ascii="Calibri" w:cstheme="majorBidi" w:eastAsiaTheme="majorEastAsia" w:hAnsi="Calibri"/>
      <w:color w:themeColor="accent1" w:themeShade="BF" w:val="2F5496"/>
      <w:sz w:val="36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A4108"/>
    <w:pPr>
      <w:keepNext/>
      <w:keepLines/>
      <w:spacing w:after="0" w:before="40"/>
      <w:outlineLvl w:val="1"/>
    </w:pPr>
    <w:rPr>
      <w:rFonts w:ascii="Calibri" w:cstheme="majorBidi" w:eastAsiaTheme="majorEastAsia" w:hAnsi="Calibri"/>
      <w:color w:themeColor="accent1" w:themeShade="BF" w:val="2F5496"/>
      <w:sz w:val="30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A4108"/>
    <w:rPr>
      <w:rFonts w:ascii="Calibri" w:cstheme="majorBidi" w:eastAsiaTheme="majorEastAsia" w:hAnsi="Calibri"/>
      <w:color w:themeColor="accent1" w:themeShade="BF" w:val="2F5496"/>
      <w:sz w:val="36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8A4108"/>
    <w:rPr>
      <w:rFonts w:ascii="Calibri" w:cstheme="majorBidi" w:eastAsiaTheme="majorEastAsia" w:hAnsi="Calibri"/>
      <w:color w:themeColor="accent1" w:themeShade="BF" w:val="2F5496"/>
      <w:sz w:val="30"/>
      <w:szCs w:val="26"/>
    </w:rPr>
  </w:style>
  <w:style w:styleId="Title" w:type="paragraph">
    <w:name w:val="Title"/>
    <w:basedOn w:val="Heading1"/>
    <w:next w:val="Normal"/>
    <w:link w:val="TitleChar"/>
    <w:uiPriority w:val="10"/>
    <w:qFormat/>
    <w:rsid w:val="008A4108"/>
    <w:pPr>
      <w:spacing w:line="240" w:lineRule="auto"/>
      <w:contextualSpacing/>
    </w:pPr>
    <w:rPr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8A4108"/>
    <w:rPr>
      <w:rFonts w:ascii="Calibri" w:cstheme="majorBidi" w:eastAsiaTheme="majorEastAsia" w:hAnsi="Calibri"/>
      <w:color w:themeColor="accent1" w:themeShade="BF" w:val="2F5496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8A4108"/>
    <w:pPr>
      <w:numPr>
        <w:ilvl w:val="1"/>
      </w:numPr>
    </w:pPr>
    <w:rPr>
      <w:rFonts w:eastAsiaTheme="minorEastAsia"/>
      <w:color w:themeColor="accent1" w:themeShade="BF" w:val="2F5496"/>
      <w:spacing w:val="15"/>
      <w:sz w:val="36"/>
    </w:rPr>
  </w:style>
  <w:style w:customStyle="1" w:styleId="SubtitleChar" w:type="character">
    <w:name w:val="Subtitle Char"/>
    <w:basedOn w:val="DefaultParagraphFont"/>
    <w:link w:val="Subtitle"/>
    <w:uiPriority w:val="11"/>
    <w:rsid w:val="008A4108"/>
    <w:rPr>
      <w:rFonts w:eastAsiaTheme="minorEastAsia"/>
      <w:color w:themeColor="accent1" w:themeShade="BF" w:val="2F5496"/>
      <w:spacing w:val="15"/>
      <w:sz w:val="3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2023-11-08T14:43:45Z</dcterms:created>
  <dcterms:modified xsi:type="dcterms:W3CDTF">2023-11-08T14:43:45Z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