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color w:val="007A82"/>
        </w:rPr>
        <w:t>FINAL PROJECT DELIVERABLE  /  TASK 17</w:t>
      </w:r>
    </w:p>
    <w:p>
      <w:pPr>
        <w:pStyle w:val="Title"/>
      </w:pPr>
      <w:r>
        <w:t>Banking Loan Portfolio</w:t>
        <w:br/>
        <w:t>&amp; Credit Risk Analysis</w:t>
      </w:r>
    </w:p>
    <w:p>
      <w:r>
        <w:t>SQL management report | PostgreSQL banking_capstone | Snapshot: 25 October 2026</w:t>
      </w:r>
    </w:p>
    <w:p>
      <w:r>
        <w:t>Data source: fictional, randomly generated Zambian bank portfolio; aggregate outputs verified against the completed SQL tasks and seven final database assertions.</w:t>
      </w:r>
    </w:p>
    <w:p>
      <w:pPr>
        <w:pStyle w:val="Heading1"/>
      </w:pPr>
      <w:r>
        <w:t>Executive summary</w:t>
      </w:r>
    </w:p>
    <w:p>
      <w:r>
        <w:t>The synthetic portfolio contains 20,000 customers and 40,000 loan records across eight branches. Recorded original loan principal totals K5,672,889,156.80 (K5.67 billion). A total of 5,313 loans are marked Defaulted (13.28% of loan records), corresponding to K917,841,641.54 (16.18% of recorded principal). These are descriptive snapshot shares, not regulatory non-performing loan ratios or loss estimates.</w:t>
      </w:r>
    </w:p>
    <w:p>
      <w:r>
        <w:t>The most pronounced observed differences in default shares were associated with customer monthly-income categories (8.51% to 18.49%) and loan-size categories (7.91% to 17.94%). In contrast, interest-rate categories ranged from 12.95% to 13.58% and loan-product categories from 12.50% to 14.00%.</w:t>
      </w:r>
    </w:p>
    <w:p>
      <w:r>
        <w:t>At branch level, Ndola had the highest defaulted loan count (713) and count share (14.17%), while Chingola had the highest recorded principal associated with defaulted loans (K124.40 million). All planned data-validation assertions passed.</w:t>
      </w:r>
    </w:p>
    <w:p>
      <w:pPr>
        <w:pStyle w:val="Heading2"/>
      </w:pPr>
      <w:r>
        <w:t>Verified portfolio headlines</w:t>
      </w:r>
    </w:p>
    <w:tbl>
      <w:tblPr>
        <w:tblStyle w:val="LightShading-Accent1"/>
        <w:tblW w:type="auto" w:w="0"/>
        <w:jc w:val="center"/>
        <w:tblLook w:firstColumn="1" w:firstRow="1" w:lastColumn="0" w:lastRow="0" w:noHBand="0" w:noVBand="1" w:val="04A0"/>
      </w:tblPr>
      <w:tblGrid>
        <w:gridCol w:w="4910"/>
        <w:gridCol w:w="4910"/>
      </w:tblGrid>
      <w:tr>
        <w:trPr>
          <w:cantSplit/>
        </w:trPr>
        <w:tc>
          <w:tcPr>
            <w:tcW w:type="dxa" w:w="4910"/>
            <w:shd w:fill="16304D"/>
            <w:vAlign w:val="center"/>
          </w:tcPr>
          <w:p>
            <w:pPr>
              <w:spacing w:after="20" w:before="20"/>
            </w:pPr>
            <w:r>
              <w:rPr>
                <w:b/>
                <w:color w:val="FFFFFF"/>
                <w:sz w:val="16"/>
              </w:rPr>
              <w:t>Measure</w:t>
            </w:r>
          </w:p>
        </w:tc>
        <w:tc>
          <w:tcPr>
            <w:tcW w:type="dxa" w:w="4910"/>
            <w:shd w:fill="16304D"/>
            <w:vAlign w:val="center"/>
          </w:tcPr>
          <w:p>
            <w:pPr>
              <w:spacing w:after="20" w:before="20"/>
              <w:jc w:val="right"/>
            </w:pPr>
            <w:r>
              <w:rPr>
                <w:b/>
                <w:color w:val="FFFFFF"/>
                <w:sz w:val="16"/>
              </w:rPr>
              <w:t>Verified result</w:t>
            </w:r>
          </w:p>
        </w:tc>
      </w:tr>
      <w:tr>
        <w:trPr>
          <w:cantSplit/>
        </w:trPr>
        <w:tc>
          <w:tcPr>
            <w:tcW w:type="dxa" w:w="4910"/>
            <w:vAlign w:val="center"/>
          </w:tcPr>
          <w:p>
            <w:pPr>
              <w:spacing w:after="20" w:before="20"/>
            </w:pPr>
            <w:r>
              <w:rPr>
                <w:sz w:val="16"/>
              </w:rPr>
              <w:t>Customers / branches</w:t>
            </w:r>
          </w:p>
        </w:tc>
        <w:tc>
          <w:tcPr>
            <w:tcW w:type="dxa" w:w="4910"/>
            <w:vAlign w:val="center"/>
          </w:tcPr>
          <w:p>
            <w:pPr>
              <w:spacing w:after="20" w:before="20"/>
              <w:jc w:val="right"/>
            </w:pPr>
            <w:r>
              <w:rPr>
                <w:sz w:val="16"/>
              </w:rPr>
              <w:t>20,000 / 8</w:t>
            </w:r>
          </w:p>
        </w:tc>
      </w:tr>
      <w:tr>
        <w:trPr>
          <w:cantSplit/>
        </w:trPr>
        <w:tc>
          <w:tcPr>
            <w:tcW w:type="dxa" w:w="4910"/>
            <w:vAlign w:val="center"/>
          </w:tcPr>
          <w:p>
            <w:pPr>
              <w:spacing w:after="20" w:before="20"/>
            </w:pPr>
            <w:r>
              <w:rPr>
                <w:sz w:val="16"/>
              </w:rPr>
              <w:t>Loan records</w:t>
            </w:r>
          </w:p>
        </w:tc>
        <w:tc>
          <w:tcPr>
            <w:tcW w:type="dxa" w:w="4910"/>
            <w:vAlign w:val="center"/>
          </w:tcPr>
          <w:p>
            <w:pPr>
              <w:spacing w:after="20" w:before="20"/>
              <w:jc w:val="right"/>
            </w:pPr>
            <w:r>
              <w:rPr>
                <w:sz w:val="16"/>
              </w:rPr>
              <w:t>40,000</w:t>
            </w:r>
          </w:p>
        </w:tc>
      </w:tr>
      <w:tr>
        <w:trPr>
          <w:cantSplit/>
        </w:trPr>
        <w:tc>
          <w:tcPr>
            <w:tcW w:type="dxa" w:w="4910"/>
            <w:vAlign w:val="center"/>
          </w:tcPr>
          <w:p>
            <w:pPr>
              <w:spacing w:after="20" w:before="20"/>
            </w:pPr>
            <w:r>
              <w:rPr>
                <w:sz w:val="16"/>
              </w:rPr>
              <w:t>Active / Defaulted / Paid</w:t>
            </w:r>
          </w:p>
        </w:tc>
        <w:tc>
          <w:tcPr>
            <w:tcW w:type="dxa" w:w="4910"/>
            <w:vAlign w:val="center"/>
          </w:tcPr>
          <w:p>
            <w:pPr>
              <w:spacing w:after="20" w:before="20"/>
              <w:jc w:val="right"/>
            </w:pPr>
            <w:r>
              <w:rPr>
                <w:sz w:val="16"/>
              </w:rPr>
              <w:t>31,027 / 5,313 / 3,660</w:t>
            </w:r>
          </w:p>
        </w:tc>
      </w:tr>
      <w:tr>
        <w:trPr>
          <w:cantSplit/>
        </w:trPr>
        <w:tc>
          <w:tcPr>
            <w:tcW w:type="dxa" w:w="4910"/>
            <w:vAlign w:val="center"/>
          </w:tcPr>
          <w:p>
            <w:pPr>
              <w:spacing w:after="20" w:before="20"/>
            </w:pPr>
            <w:r>
              <w:rPr>
                <w:sz w:val="16"/>
              </w:rPr>
              <w:t>Recorded original principal</w:t>
            </w:r>
          </w:p>
        </w:tc>
        <w:tc>
          <w:tcPr>
            <w:tcW w:type="dxa" w:w="4910"/>
            <w:vAlign w:val="center"/>
          </w:tcPr>
          <w:p>
            <w:pPr>
              <w:spacing w:after="20" w:before="20"/>
              <w:jc w:val="right"/>
            </w:pPr>
            <w:r>
              <w:rPr>
                <w:sz w:val="16"/>
              </w:rPr>
              <w:t>K5,672,889,156.80</w:t>
            </w:r>
          </w:p>
        </w:tc>
      </w:tr>
      <w:tr>
        <w:trPr>
          <w:cantSplit/>
        </w:trPr>
        <w:tc>
          <w:tcPr>
            <w:tcW w:type="dxa" w:w="4910"/>
            <w:vAlign w:val="center"/>
          </w:tcPr>
          <w:p>
            <w:pPr>
              <w:spacing w:after="20" w:before="20"/>
            </w:pPr>
            <w:r>
              <w:rPr>
                <w:sz w:val="16"/>
              </w:rPr>
              <w:t>Defaulted original principal</w:t>
            </w:r>
          </w:p>
        </w:tc>
        <w:tc>
          <w:tcPr>
            <w:tcW w:type="dxa" w:w="4910"/>
            <w:vAlign w:val="center"/>
          </w:tcPr>
          <w:p>
            <w:pPr>
              <w:spacing w:after="20" w:before="20"/>
              <w:jc w:val="right"/>
            </w:pPr>
            <w:r>
              <w:rPr>
                <w:sz w:val="16"/>
              </w:rPr>
              <w:t>K917,841,641.54</w:t>
            </w:r>
          </w:p>
        </w:tc>
      </w:tr>
      <w:tr>
        <w:trPr>
          <w:cantSplit/>
        </w:trPr>
        <w:tc>
          <w:tcPr>
            <w:tcW w:type="dxa" w:w="4910"/>
            <w:vAlign w:val="center"/>
          </w:tcPr>
          <w:p>
            <w:pPr>
              <w:spacing w:after="20" w:before="20"/>
            </w:pPr>
            <w:r>
              <w:rPr>
                <w:sz w:val="16"/>
              </w:rPr>
              <w:t>Defaulted count share / principal share</w:t>
            </w:r>
          </w:p>
        </w:tc>
        <w:tc>
          <w:tcPr>
            <w:tcW w:type="dxa" w:w="4910"/>
            <w:vAlign w:val="center"/>
          </w:tcPr>
          <w:p>
            <w:pPr>
              <w:spacing w:after="20" w:before="20"/>
              <w:jc w:val="right"/>
            </w:pPr>
            <w:r>
              <w:rPr>
                <w:sz w:val="16"/>
              </w:rPr>
              <w:t>13.28% / 16.18%</w:t>
            </w:r>
          </w:p>
        </w:tc>
      </w:tr>
      <w:tr>
        <w:trPr>
          <w:cantSplit/>
        </w:trPr>
        <w:tc>
          <w:tcPr>
            <w:tcW w:type="dxa" w:w="4910"/>
            <w:vAlign w:val="center"/>
          </w:tcPr>
          <w:p>
            <w:pPr>
              <w:spacing w:after="20" w:before="20"/>
            </w:pPr>
            <w:r>
              <w:rPr>
                <w:sz w:val="16"/>
              </w:rPr>
              <w:t>Average original loan amount</w:t>
            </w:r>
          </w:p>
        </w:tc>
        <w:tc>
          <w:tcPr>
            <w:tcW w:type="dxa" w:w="4910"/>
            <w:vAlign w:val="center"/>
          </w:tcPr>
          <w:p>
            <w:pPr>
              <w:spacing w:after="20" w:before="20"/>
              <w:jc w:val="right"/>
            </w:pPr>
            <w:r>
              <w:rPr>
                <w:sz w:val="16"/>
              </w:rPr>
              <w:t>K141,822.23</w:t>
            </w:r>
          </w:p>
        </w:tc>
      </w:tr>
      <w:tr>
        <w:trPr>
          <w:cantSplit/>
        </w:trPr>
        <w:tc>
          <w:tcPr>
            <w:tcW w:type="dxa" w:w="4910"/>
            <w:vAlign w:val="center"/>
          </w:tcPr>
          <w:p>
            <w:pPr>
              <w:spacing w:after="20" w:before="20"/>
            </w:pPr>
            <w:r>
              <w:rPr>
                <w:sz w:val="16"/>
              </w:rPr>
              <w:t>Customers with ≥1 defaulted loan</w:t>
            </w:r>
          </w:p>
        </w:tc>
        <w:tc>
          <w:tcPr>
            <w:tcW w:type="dxa" w:w="4910"/>
            <w:vAlign w:val="center"/>
          </w:tcPr>
          <w:p>
            <w:pPr>
              <w:spacing w:after="20" w:before="20"/>
              <w:jc w:val="right"/>
            </w:pPr>
            <w:r>
              <w:rPr>
                <w:sz w:val="16"/>
              </w:rPr>
              <w:t>4,572</w:t>
            </w:r>
          </w:p>
        </w:tc>
      </w:tr>
    </w:tbl>
    <w:p>
      <w:pPr>
        <w:pStyle w:val="Heading1"/>
      </w:pPr>
      <w:r>
        <w:t>1. Default patterns: income and loan size</w:t>
      </w:r>
    </w:p>
    <w:p>
      <w:r>
        <w:t>Income bands are analytical classifications created for this project, not official income classes. All segment rates below divide defaulted loan records by loan records in the same segment.</w:t>
      </w:r>
    </w:p>
    <w:p>
      <w:r>
        <w:drawing>
          <wp:inline xmlns:a="http://schemas.openxmlformats.org/drawingml/2006/main" xmlns:pic="http://schemas.openxmlformats.org/drawingml/2006/picture">
            <wp:extent cx="6172200" cy="2393976"/>
            <wp:docPr id="1" name="Picture 1"/>
            <wp:cNvGraphicFramePr>
              <a:graphicFrameLocks noChangeAspect="1"/>
            </wp:cNvGraphicFramePr>
            <a:graphic>
              <a:graphicData uri="http://schemas.openxmlformats.org/drawingml/2006/picture">
                <pic:pic>
                  <pic:nvPicPr>
                    <pic:cNvPr id="0" name="task17_rates.png"/>
                    <pic:cNvPicPr/>
                  </pic:nvPicPr>
                  <pic:blipFill>
                    <a:blip r:embed="rId11"/>
                    <a:stretch>
                      <a:fillRect/>
                    </a:stretch>
                  </pic:blipFill>
                  <pic:spPr>
                    <a:xfrm>
                      <a:off x="0" y="0"/>
                      <a:ext cx="6172200" cy="2393976"/>
                    </a:xfrm>
                    <a:prstGeom prst="rect"/>
                  </pic:spPr>
                </pic:pic>
              </a:graphicData>
            </a:graphic>
          </wp:inline>
        </w:drawing>
      </w:r>
    </w:p>
    <w:p>
      <w:pPr>
        <w:pStyle w:val="Heading2"/>
      </w:pPr>
      <w:r>
        <w:t>Customer income segments</w:t>
      </w:r>
    </w:p>
    <w:tbl>
      <w:tblPr>
        <w:tblStyle w:val="LightShading-Accent1"/>
        <w:tblW w:type="auto" w:w="0"/>
        <w:jc w:val="center"/>
        <w:tblLook w:firstColumn="1" w:firstRow="1" w:lastColumn="0" w:lastRow="0" w:noHBand="0" w:noVBand="1" w:val="04A0"/>
      </w:tblPr>
      <w:tblGrid>
        <w:gridCol w:w="1964"/>
        <w:gridCol w:w="1964"/>
        <w:gridCol w:w="1964"/>
        <w:gridCol w:w="1964"/>
        <w:gridCol w:w="1964"/>
      </w:tblGrid>
      <w:tr>
        <w:trPr>
          <w:cantSplit/>
        </w:trPr>
        <w:tc>
          <w:tcPr>
            <w:tcW w:type="dxa" w:w="1964"/>
            <w:shd w:fill="16304D"/>
            <w:vAlign w:val="center"/>
          </w:tcPr>
          <w:p>
            <w:pPr>
              <w:spacing w:after="20" w:before="20"/>
            </w:pPr>
            <w:r>
              <w:rPr>
                <w:b/>
                <w:color w:val="FFFFFF"/>
                <w:sz w:val="16"/>
              </w:rPr>
              <w:t>Monthly income group</w:t>
            </w:r>
          </w:p>
        </w:tc>
        <w:tc>
          <w:tcPr>
            <w:tcW w:type="dxa" w:w="1964"/>
            <w:shd w:fill="16304D"/>
            <w:vAlign w:val="center"/>
          </w:tcPr>
          <w:p>
            <w:pPr>
              <w:spacing w:after="20" w:before="20"/>
              <w:jc w:val="right"/>
            </w:pPr>
            <w:r>
              <w:rPr>
                <w:b/>
                <w:color w:val="FFFFFF"/>
                <w:sz w:val="16"/>
              </w:rPr>
              <w:t>Loans</w:t>
            </w:r>
          </w:p>
        </w:tc>
        <w:tc>
          <w:tcPr>
            <w:tcW w:type="dxa" w:w="1964"/>
            <w:shd w:fill="16304D"/>
            <w:vAlign w:val="center"/>
          </w:tcPr>
          <w:p>
            <w:pPr>
              <w:spacing w:after="20" w:before="20"/>
              <w:jc w:val="right"/>
            </w:pPr>
            <w:r>
              <w:rPr>
                <w:b/>
                <w:color w:val="FFFFFF"/>
                <w:sz w:val="16"/>
              </w:rPr>
              <w:t>Defaulted</w:t>
            </w:r>
          </w:p>
        </w:tc>
        <w:tc>
          <w:tcPr>
            <w:tcW w:type="dxa" w:w="1964"/>
            <w:shd w:fill="16304D"/>
            <w:vAlign w:val="center"/>
          </w:tcPr>
          <w:p>
            <w:pPr>
              <w:spacing w:after="20" w:before="20"/>
              <w:jc w:val="right"/>
            </w:pPr>
            <w:r>
              <w:rPr>
                <w:b/>
                <w:color w:val="FFFFFF"/>
                <w:sz w:val="16"/>
              </w:rPr>
              <w:t>Default %</w:t>
            </w:r>
          </w:p>
        </w:tc>
        <w:tc>
          <w:tcPr>
            <w:tcW w:type="dxa" w:w="1964"/>
            <w:shd w:fill="16304D"/>
            <w:vAlign w:val="center"/>
          </w:tcPr>
          <w:p>
            <w:pPr>
              <w:spacing w:after="20" w:before="20"/>
              <w:jc w:val="right"/>
            </w:pPr>
            <w:r>
              <w:rPr>
                <w:b/>
                <w:color w:val="FFFFFF"/>
                <w:sz w:val="16"/>
              </w:rPr>
              <w:t>Defaulted principal</w:t>
            </w:r>
          </w:p>
        </w:tc>
      </w:tr>
      <w:tr>
        <w:trPr>
          <w:cantSplit/>
        </w:trPr>
        <w:tc>
          <w:tcPr>
            <w:tcW w:type="dxa" w:w="1964"/>
            <w:vAlign w:val="center"/>
          </w:tcPr>
          <w:p>
            <w:pPr>
              <w:spacing w:after="20" w:before="20"/>
            </w:pPr>
            <w:r>
              <w:rPr>
                <w:sz w:val="16"/>
              </w:rPr>
              <w:t>Low (&lt;K10k)</w:t>
            </w:r>
          </w:p>
        </w:tc>
        <w:tc>
          <w:tcPr>
            <w:tcW w:type="dxa" w:w="1964"/>
            <w:vAlign w:val="center"/>
          </w:tcPr>
          <w:p>
            <w:pPr>
              <w:spacing w:after="20" w:before="20"/>
              <w:jc w:val="right"/>
            </w:pPr>
            <w:r>
              <w:rPr>
                <w:sz w:val="16"/>
              </w:rPr>
              <w:t>11,462</w:t>
            </w:r>
          </w:p>
        </w:tc>
        <w:tc>
          <w:tcPr>
            <w:tcW w:type="dxa" w:w="1964"/>
            <w:vAlign w:val="center"/>
          </w:tcPr>
          <w:p>
            <w:pPr>
              <w:spacing w:after="20" w:before="20"/>
              <w:jc w:val="right"/>
            </w:pPr>
            <w:r>
              <w:rPr>
                <w:sz w:val="16"/>
              </w:rPr>
              <w:t>2,119</w:t>
            </w:r>
          </w:p>
        </w:tc>
        <w:tc>
          <w:tcPr>
            <w:tcW w:type="dxa" w:w="1964"/>
            <w:vAlign w:val="center"/>
          </w:tcPr>
          <w:p>
            <w:pPr>
              <w:spacing w:after="20" w:before="20"/>
              <w:jc w:val="right"/>
            </w:pPr>
            <w:r>
              <w:rPr>
                <w:sz w:val="16"/>
              </w:rPr>
              <w:t>18.49%</w:t>
            </w:r>
          </w:p>
        </w:tc>
        <w:tc>
          <w:tcPr>
            <w:tcW w:type="dxa" w:w="1964"/>
            <w:vAlign w:val="center"/>
          </w:tcPr>
          <w:p>
            <w:pPr>
              <w:spacing w:after="20" w:before="20"/>
              <w:jc w:val="right"/>
            </w:pPr>
            <w:r>
              <w:rPr>
                <w:sz w:val="16"/>
              </w:rPr>
              <w:t>K346.71m</w:t>
            </w:r>
          </w:p>
        </w:tc>
      </w:tr>
      <w:tr>
        <w:trPr>
          <w:cantSplit/>
        </w:trPr>
        <w:tc>
          <w:tcPr>
            <w:tcW w:type="dxa" w:w="1964"/>
            <w:vAlign w:val="center"/>
          </w:tcPr>
          <w:p>
            <w:pPr>
              <w:spacing w:after="20" w:before="20"/>
            </w:pPr>
            <w:r>
              <w:rPr>
                <w:sz w:val="16"/>
              </w:rPr>
              <w:t>Lower-middle (K10k–&lt;20k)</w:t>
            </w:r>
          </w:p>
        </w:tc>
        <w:tc>
          <w:tcPr>
            <w:tcW w:type="dxa" w:w="1964"/>
            <w:vAlign w:val="center"/>
          </w:tcPr>
          <w:p>
            <w:pPr>
              <w:spacing w:after="20" w:before="20"/>
              <w:jc w:val="right"/>
            </w:pPr>
            <w:r>
              <w:rPr>
                <w:sz w:val="16"/>
              </w:rPr>
              <w:t>6,727</w:t>
            </w:r>
          </w:p>
        </w:tc>
        <w:tc>
          <w:tcPr>
            <w:tcW w:type="dxa" w:w="1964"/>
            <w:vAlign w:val="center"/>
          </w:tcPr>
          <w:p>
            <w:pPr>
              <w:spacing w:after="20" w:before="20"/>
              <w:jc w:val="right"/>
            </w:pPr>
            <w:r>
              <w:rPr>
                <w:sz w:val="16"/>
              </w:rPr>
              <w:t>983</w:t>
            </w:r>
          </w:p>
        </w:tc>
        <w:tc>
          <w:tcPr>
            <w:tcW w:type="dxa" w:w="1964"/>
            <w:vAlign w:val="center"/>
          </w:tcPr>
          <w:p>
            <w:pPr>
              <w:spacing w:after="20" w:before="20"/>
              <w:jc w:val="right"/>
            </w:pPr>
            <w:r>
              <w:rPr>
                <w:sz w:val="16"/>
              </w:rPr>
              <w:t>14.61%</w:t>
            </w:r>
          </w:p>
        </w:tc>
        <w:tc>
          <w:tcPr>
            <w:tcW w:type="dxa" w:w="1964"/>
            <w:vAlign w:val="center"/>
          </w:tcPr>
          <w:p>
            <w:pPr>
              <w:spacing w:after="20" w:before="20"/>
              <w:jc w:val="right"/>
            </w:pPr>
            <w:r>
              <w:rPr>
                <w:sz w:val="16"/>
              </w:rPr>
              <w:t>K173.60m</w:t>
            </w:r>
          </w:p>
        </w:tc>
      </w:tr>
      <w:tr>
        <w:trPr>
          <w:cantSplit/>
        </w:trPr>
        <w:tc>
          <w:tcPr>
            <w:tcW w:type="dxa" w:w="1964"/>
            <w:vAlign w:val="center"/>
          </w:tcPr>
          <w:p>
            <w:pPr>
              <w:spacing w:after="20" w:before="20"/>
            </w:pPr>
            <w:r>
              <w:rPr>
                <w:sz w:val="16"/>
              </w:rPr>
              <w:t>Upper-middle (K20k–&lt;40k)</w:t>
            </w:r>
          </w:p>
        </w:tc>
        <w:tc>
          <w:tcPr>
            <w:tcW w:type="dxa" w:w="1964"/>
            <w:vAlign w:val="center"/>
          </w:tcPr>
          <w:p>
            <w:pPr>
              <w:spacing w:after="20" w:before="20"/>
              <w:jc w:val="right"/>
            </w:pPr>
            <w:r>
              <w:rPr>
                <w:sz w:val="16"/>
              </w:rPr>
              <w:t>9,666</w:t>
            </w:r>
          </w:p>
        </w:tc>
        <w:tc>
          <w:tcPr>
            <w:tcW w:type="dxa" w:w="1964"/>
            <w:vAlign w:val="center"/>
          </w:tcPr>
          <w:p>
            <w:pPr>
              <w:spacing w:after="20" w:before="20"/>
              <w:jc w:val="right"/>
            </w:pPr>
            <w:r>
              <w:rPr>
                <w:sz w:val="16"/>
              </w:rPr>
              <w:t>1,177</w:t>
            </w:r>
          </w:p>
        </w:tc>
        <w:tc>
          <w:tcPr>
            <w:tcW w:type="dxa" w:w="1964"/>
            <w:vAlign w:val="center"/>
          </w:tcPr>
          <w:p>
            <w:pPr>
              <w:spacing w:after="20" w:before="20"/>
              <w:jc w:val="right"/>
            </w:pPr>
            <w:r>
              <w:rPr>
                <w:sz w:val="16"/>
              </w:rPr>
              <w:t>12.18%</w:t>
            </w:r>
          </w:p>
        </w:tc>
        <w:tc>
          <w:tcPr>
            <w:tcW w:type="dxa" w:w="1964"/>
            <w:vAlign w:val="center"/>
          </w:tcPr>
          <w:p>
            <w:pPr>
              <w:spacing w:after="20" w:before="20"/>
              <w:jc w:val="right"/>
            </w:pPr>
            <w:r>
              <w:rPr>
                <w:sz w:val="16"/>
              </w:rPr>
              <w:t>K219.37m</w:t>
            </w:r>
          </w:p>
        </w:tc>
      </w:tr>
      <w:tr>
        <w:trPr>
          <w:cantSplit/>
        </w:trPr>
        <w:tc>
          <w:tcPr>
            <w:tcW w:type="dxa" w:w="1964"/>
            <w:vAlign w:val="center"/>
          </w:tcPr>
          <w:p>
            <w:pPr>
              <w:spacing w:after="20" w:before="20"/>
            </w:pPr>
            <w:r>
              <w:rPr>
                <w:sz w:val="16"/>
              </w:rPr>
              <w:t>High (≥K40k)</w:t>
            </w:r>
          </w:p>
        </w:tc>
        <w:tc>
          <w:tcPr>
            <w:tcW w:type="dxa" w:w="1964"/>
            <w:vAlign w:val="center"/>
          </w:tcPr>
          <w:p>
            <w:pPr>
              <w:spacing w:after="20" w:before="20"/>
              <w:jc w:val="right"/>
            </w:pPr>
            <w:r>
              <w:rPr>
                <w:sz w:val="16"/>
              </w:rPr>
              <w:t>12,145</w:t>
            </w:r>
          </w:p>
        </w:tc>
        <w:tc>
          <w:tcPr>
            <w:tcW w:type="dxa" w:w="1964"/>
            <w:vAlign w:val="center"/>
          </w:tcPr>
          <w:p>
            <w:pPr>
              <w:spacing w:after="20" w:before="20"/>
              <w:jc w:val="right"/>
            </w:pPr>
            <w:r>
              <w:rPr>
                <w:sz w:val="16"/>
              </w:rPr>
              <w:t>1,034</w:t>
            </w:r>
          </w:p>
        </w:tc>
        <w:tc>
          <w:tcPr>
            <w:tcW w:type="dxa" w:w="1964"/>
            <w:vAlign w:val="center"/>
          </w:tcPr>
          <w:p>
            <w:pPr>
              <w:spacing w:after="20" w:before="20"/>
              <w:jc w:val="right"/>
            </w:pPr>
            <w:r>
              <w:rPr>
                <w:sz w:val="16"/>
              </w:rPr>
              <w:t>8.51%</w:t>
            </w:r>
          </w:p>
        </w:tc>
        <w:tc>
          <w:tcPr>
            <w:tcW w:type="dxa" w:w="1964"/>
            <w:vAlign w:val="center"/>
          </w:tcPr>
          <w:p>
            <w:pPr>
              <w:spacing w:after="20" w:before="20"/>
              <w:jc w:val="right"/>
            </w:pPr>
            <w:r>
              <w:rPr>
                <w:sz w:val="16"/>
              </w:rPr>
              <w:t>K178.15m</w:t>
            </w:r>
          </w:p>
        </w:tc>
      </w:tr>
    </w:tbl>
    <w:p>
      <w:r>
        <w:t>Key finding: Loans linked to customers in the lowest income band show an 18.49% defaulted-record share versus 8.51% for the highest band. Low-income customers account for K346.71m in recorded defaulted original principal. This pattern is descriptive; it cannot establish causality.</w:t>
      </w:r>
    </w:p>
    <w:p>
      <w:pPr>
        <w:pStyle w:val="Heading2"/>
      </w:pPr>
      <w:r>
        <w:t>Original loan-size segments</w:t>
      </w:r>
    </w:p>
    <w:tbl>
      <w:tblPr>
        <w:tblStyle w:val="LightShading-Accent1"/>
        <w:tblW w:type="auto" w:w="0"/>
        <w:jc w:val="center"/>
        <w:tblLook w:firstColumn="1" w:firstRow="1" w:lastColumn="0" w:lastRow="0" w:noHBand="0" w:noVBand="1" w:val="04A0"/>
      </w:tblPr>
      <w:tblGrid>
        <w:gridCol w:w="1964"/>
        <w:gridCol w:w="1964"/>
        <w:gridCol w:w="1964"/>
        <w:gridCol w:w="1964"/>
        <w:gridCol w:w="1964"/>
      </w:tblGrid>
      <w:tr>
        <w:trPr>
          <w:cantSplit/>
        </w:trPr>
        <w:tc>
          <w:tcPr>
            <w:tcW w:type="dxa" w:w="1964"/>
            <w:shd w:fill="16304D"/>
            <w:vAlign w:val="center"/>
          </w:tcPr>
          <w:p>
            <w:pPr>
              <w:spacing w:after="20" w:before="20"/>
            </w:pPr>
            <w:r>
              <w:rPr>
                <w:b/>
                <w:color w:val="FFFFFF"/>
                <w:sz w:val="16"/>
              </w:rPr>
              <w:t>Loan size category</w:t>
            </w:r>
          </w:p>
        </w:tc>
        <w:tc>
          <w:tcPr>
            <w:tcW w:type="dxa" w:w="1964"/>
            <w:shd w:fill="16304D"/>
            <w:vAlign w:val="center"/>
          </w:tcPr>
          <w:p>
            <w:pPr>
              <w:spacing w:after="20" w:before="20"/>
              <w:jc w:val="right"/>
            </w:pPr>
            <w:r>
              <w:rPr>
                <w:b/>
                <w:color w:val="FFFFFF"/>
                <w:sz w:val="16"/>
              </w:rPr>
              <w:t>Loans</w:t>
            </w:r>
          </w:p>
        </w:tc>
        <w:tc>
          <w:tcPr>
            <w:tcW w:type="dxa" w:w="1964"/>
            <w:shd w:fill="16304D"/>
            <w:vAlign w:val="center"/>
          </w:tcPr>
          <w:p>
            <w:pPr>
              <w:spacing w:after="20" w:before="20"/>
              <w:jc w:val="right"/>
            </w:pPr>
            <w:r>
              <w:rPr>
                <w:b/>
                <w:color w:val="FFFFFF"/>
                <w:sz w:val="16"/>
              </w:rPr>
              <w:t>Defaulted</w:t>
            </w:r>
          </w:p>
        </w:tc>
        <w:tc>
          <w:tcPr>
            <w:tcW w:type="dxa" w:w="1964"/>
            <w:shd w:fill="16304D"/>
            <w:vAlign w:val="center"/>
          </w:tcPr>
          <w:p>
            <w:pPr>
              <w:spacing w:after="20" w:before="20"/>
              <w:jc w:val="right"/>
            </w:pPr>
            <w:r>
              <w:rPr>
                <w:b/>
                <w:color w:val="FFFFFF"/>
                <w:sz w:val="16"/>
              </w:rPr>
              <w:t>Default %</w:t>
            </w:r>
          </w:p>
        </w:tc>
        <w:tc>
          <w:tcPr>
            <w:tcW w:type="dxa" w:w="1964"/>
            <w:shd w:fill="16304D"/>
            <w:vAlign w:val="center"/>
          </w:tcPr>
          <w:p>
            <w:pPr>
              <w:spacing w:after="20" w:before="20"/>
              <w:jc w:val="right"/>
            </w:pPr>
            <w:r>
              <w:rPr>
                <w:b/>
                <w:color w:val="FFFFFF"/>
                <w:sz w:val="16"/>
              </w:rPr>
              <w:t>Defaulted principal</w:t>
            </w:r>
          </w:p>
        </w:tc>
      </w:tr>
      <w:tr>
        <w:trPr>
          <w:cantSplit/>
        </w:trPr>
        <w:tc>
          <w:tcPr>
            <w:tcW w:type="dxa" w:w="1964"/>
            <w:vAlign w:val="center"/>
          </w:tcPr>
          <w:p>
            <w:pPr>
              <w:spacing w:after="20" w:before="20"/>
            </w:pPr>
            <w:r>
              <w:rPr>
                <w:sz w:val="16"/>
              </w:rPr>
              <w:t>Very large (≥K200k)</w:t>
            </w:r>
          </w:p>
        </w:tc>
        <w:tc>
          <w:tcPr>
            <w:tcW w:type="dxa" w:w="1964"/>
            <w:vAlign w:val="center"/>
          </w:tcPr>
          <w:p>
            <w:pPr>
              <w:spacing w:after="20" w:before="20"/>
              <w:jc w:val="right"/>
            </w:pPr>
            <w:r>
              <w:rPr>
                <w:sz w:val="16"/>
              </w:rPr>
              <w:t>12,535</w:t>
            </w:r>
          </w:p>
        </w:tc>
        <w:tc>
          <w:tcPr>
            <w:tcW w:type="dxa" w:w="1964"/>
            <w:vAlign w:val="center"/>
          </w:tcPr>
          <w:p>
            <w:pPr>
              <w:spacing w:after="20" w:before="20"/>
              <w:jc w:val="right"/>
            </w:pPr>
            <w:r>
              <w:rPr>
                <w:sz w:val="16"/>
              </w:rPr>
              <w:t>2,249</w:t>
            </w:r>
          </w:p>
        </w:tc>
        <w:tc>
          <w:tcPr>
            <w:tcW w:type="dxa" w:w="1964"/>
            <w:vAlign w:val="center"/>
          </w:tcPr>
          <w:p>
            <w:pPr>
              <w:spacing w:after="20" w:before="20"/>
              <w:jc w:val="right"/>
            </w:pPr>
            <w:r>
              <w:rPr>
                <w:sz w:val="16"/>
              </w:rPr>
              <w:t>17.94%</w:t>
            </w:r>
          </w:p>
        </w:tc>
        <w:tc>
          <w:tcPr>
            <w:tcW w:type="dxa" w:w="1964"/>
            <w:vAlign w:val="center"/>
          </w:tcPr>
          <w:p>
            <w:pPr>
              <w:spacing w:after="20" w:before="20"/>
              <w:jc w:val="right"/>
            </w:pPr>
            <w:r>
              <w:rPr>
                <w:sz w:val="16"/>
              </w:rPr>
              <w:t>K619.50m</w:t>
            </w:r>
          </w:p>
        </w:tc>
      </w:tr>
      <w:tr>
        <w:trPr>
          <w:cantSplit/>
        </w:trPr>
        <w:tc>
          <w:tcPr>
            <w:tcW w:type="dxa" w:w="1964"/>
            <w:vAlign w:val="center"/>
          </w:tcPr>
          <w:p>
            <w:pPr>
              <w:spacing w:after="20" w:before="20"/>
            </w:pPr>
            <w:r>
              <w:rPr>
                <w:sz w:val="16"/>
              </w:rPr>
              <w:t>Large (K100k–&lt;200k)</w:t>
            </w:r>
          </w:p>
        </w:tc>
        <w:tc>
          <w:tcPr>
            <w:tcW w:type="dxa" w:w="1964"/>
            <w:vAlign w:val="center"/>
          </w:tcPr>
          <w:p>
            <w:pPr>
              <w:spacing w:after="20" w:before="20"/>
              <w:jc w:val="right"/>
            </w:pPr>
            <w:r>
              <w:rPr>
                <w:sz w:val="16"/>
              </w:rPr>
              <w:t>10,390</w:t>
            </w:r>
          </w:p>
        </w:tc>
        <w:tc>
          <w:tcPr>
            <w:tcW w:type="dxa" w:w="1964"/>
            <w:vAlign w:val="center"/>
          </w:tcPr>
          <w:p>
            <w:pPr>
              <w:spacing w:after="20" w:before="20"/>
              <w:jc w:val="right"/>
            </w:pPr>
            <w:r>
              <w:rPr>
                <w:sz w:val="16"/>
              </w:rPr>
              <w:t>1,493</w:t>
            </w:r>
          </w:p>
        </w:tc>
        <w:tc>
          <w:tcPr>
            <w:tcW w:type="dxa" w:w="1964"/>
            <w:vAlign w:val="center"/>
          </w:tcPr>
          <w:p>
            <w:pPr>
              <w:spacing w:after="20" w:before="20"/>
              <w:jc w:val="right"/>
            </w:pPr>
            <w:r>
              <w:rPr>
                <w:sz w:val="16"/>
              </w:rPr>
              <w:t>14.37%</w:t>
            </w:r>
          </w:p>
        </w:tc>
        <w:tc>
          <w:tcPr>
            <w:tcW w:type="dxa" w:w="1964"/>
            <w:vAlign w:val="center"/>
          </w:tcPr>
          <w:p>
            <w:pPr>
              <w:spacing w:after="20" w:before="20"/>
              <w:jc w:val="right"/>
            </w:pPr>
            <w:r>
              <w:rPr>
                <w:sz w:val="16"/>
              </w:rPr>
              <w:t>K223.79m</w:t>
            </w:r>
          </w:p>
        </w:tc>
      </w:tr>
      <w:tr>
        <w:trPr>
          <w:cantSplit/>
        </w:trPr>
        <w:tc>
          <w:tcPr>
            <w:tcW w:type="dxa" w:w="1964"/>
            <w:vAlign w:val="center"/>
          </w:tcPr>
          <w:p>
            <w:pPr>
              <w:spacing w:after="20" w:before="20"/>
            </w:pPr>
            <w:r>
              <w:rPr>
                <w:sz w:val="16"/>
              </w:rPr>
              <w:t>Medium (K50k–&lt;100k)</w:t>
            </w:r>
          </w:p>
        </w:tc>
        <w:tc>
          <w:tcPr>
            <w:tcW w:type="dxa" w:w="1964"/>
            <w:vAlign w:val="center"/>
          </w:tcPr>
          <w:p>
            <w:pPr>
              <w:spacing w:after="20" w:before="20"/>
              <w:jc w:val="right"/>
            </w:pPr>
            <w:r>
              <w:rPr>
                <w:sz w:val="16"/>
              </w:rPr>
              <w:t>6,416</w:t>
            </w:r>
          </w:p>
        </w:tc>
        <w:tc>
          <w:tcPr>
            <w:tcW w:type="dxa" w:w="1964"/>
            <w:vAlign w:val="center"/>
          </w:tcPr>
          <w:p>
            <w:pPr>
              <w:spacing w:after="20" w:before="20"/>
              <w:jc w:val="right"/>
            </w:pPr>
            <w:r>
              <w:rPr>
                <w:sz w:val="16"/>
              </w:rPr>
              <w:t>728</w:t>
            </w:r>
          </w:p>
        </w:tc>
        <w:tc>
          <w:tcPr>
            <w:tcW w:type="dxa" w:w="1964"/>
            <w:vAlign w:val="center"/>
          </w:tcPr>
          <w:p>
            <w:pPr>
              <w:spacing w:after="20" w:before="20"/>
              <w:jc w:val="right"/>
            </w:pPr>
            <w:r>
              <w:rPr>
                <w:sz w:val="16"/>
              </w:rPr>
              <w:t>11.35%</w:t>
            </w:r>
          </w:p>
        </w:tc>
        <w:tc>
          <w:tcPr>
            <w:tcW w:type="dxa" w:w="1964"/>
            <w:vAlign w:val="center"/>
          </w:tcPr>
          <w:p>
            <w:pPr>
              <w:spacing w:after="20" w:before="20"/>
              <w:jc w:val="right"/>
            </w:pPr>
            <w:r>
              <w:rPr>
                <w:sz w:val="16"/>
              </w:rPr>
              <w:t>K54.59m</w:t>
            </w:r>
          </w:p>
        </w:tc>
      </w:tr>
      <w:tr>
        <w:trPr>
          <w:cantSplit/>
        </w:trPr>
        <w:tc>
          <w:tcPr>
            <w:tcW w:type="dxa" w:w="1964"/>
            <w:vAlign w:val="center"/>
          </w:tcPr>
          <w:p>
            <w:pPr>
              <w:spacing w:after="20" w:before="20"/>
            </w:pPr>
            <w:r>
              <w:rPr>
                <w:sz w:val="16"/>
              </w:rPr>
              <w:t>Small (&lt;K50k)</w:t>
            </w:r>
          </w:p>
        </w:tc>
        <w:tc>
          <w:tcPr>
            <w:tcW w:type="dxa" w:w="1964"/>
            <w:vAlign w:val="center"/>
          </w:tcPr>
          <w:p>
            <w:pPr>
              <w:spacing w:after="20" w:before="20"/>
              <w:jc w:val="right"/>
            </w:pPr>
            <w:r>
              <w:rPr>
                <w:sz w:val="16"/>
              </w:rPr>
              <w:t>10,659</w:t>
            </w:r>
          </w:p>
        </w:tc>
        <w:tc>
          <w:tcPr>
            <w:tcW w:type="dxa" w:w="1964"/>
            <w:vAlign w:val="center"/>
          </w:tcPr>
          <w:p>
            <w:pPr>
              <w:spacing w:after="20" w:before="20"/>
              <w:jc w:val="right"/>
            </w:pPr>
            <w:r>
              <w:rPr>
                <w:sz w:val="16"/>
              </w:rPr>
              <w:t>843</w:t>
            </w:r>
          </w:p>
        </w:tc>
        <w:tc>
          <w:tcPr>
            <w:tcW w:type="dxa" w:w="1964"/>
            <w:vAlign w:val="center"/>
          </w:tcPr>
          <w:p>
            <w:pPr>
              <w:spacing w:after="20" w:before="20"/>
              <w:jc w:val="right"/>
            </w:pPr>
            <w:r>
              <w:rPr>
                <w:sz w:val="16"/>
              </w:rPr>
              <w:t>7.91%</w:t>
            </w:r>
          </w:p>
        </w:tc>
        <w:tc>
          <w:tcPr>
            <w:tcW w:type="dxa" w:w="1964"/>
            <w:vAlign w:val="center"/>
          </w:tcPr>
          <w:p>
            <w:pPr>
              <w:spacing w:after="20" w:before="20"/>
              <w:jc w:val="right"/>
            </w:pPr>
            <w:r>
              <w:rPr>
                <w:sz w:val="16"/>
              </w:rPr>
              <w:t>K19.97m</w:t>
            </w:r>
          </w:p>
        </w:tc>
      </w:tr>
    </w:tbl>
    <w:p>
      <w:r>
        <w:t>Key finding: The very-large-loan group (≥K200,000) accounts for 2,249 defaulted records and K619.50m in recorded defaulted principal—approximately 67.50% of total defaulted principal. Its 17.94% defaulted-record share is over twice the small-loan group’s 7.91%.</w:t>
      </w:r>
    </w:p>
    <w:p>
      <w:pPr>
        <w:pStyle w:val="Heading1"/>
      </w:pPr>
      <w:r>
        <w:t>2. Interest-rate and loan-product comparison</w:t>
      </w:r>
    </w:p>
    <w:p>
      <w:pPr>
        <w:pStyle w:val="Heading2"/>
      </w:pPr>
      <w:r>
        <w:t>Interest-rate groups</w:t>
      </w:r>
    </w:p>
    <w:tbl>
      <w:tblPr>
        <w:tblStyle w:val="LightShading-Accent1"/>
        <w:tblW w:type="auto" w:w="0"/>
        <w:jc w:val="center"/>
        <w:tblLook w:firstColumn="1" w:firstRow="1" w:lastColumn="0" w:lastRow="0" w:noHBand="0" w:noVBand="1" w:val="04A0"/>
      </w:tblPr>
      <w:tblGrid>
        <w:gridCol w:w="2455"/>
        <w:gridCol w:w="2455"/>
        <w:gridCol w:w="2455"/>
        <w:gridCol w:w="2455"/>
      </w:tblGrid>
      <w:tr>
        <w:trPr>
          <w:cantSplit/>
        </w:trPr>
        <w:tc>
          <w:tcPr>
            <w:tcW w:type="dxa" w:w="2455"/>
            <w:shd w:fill="16304D"/>
            <w:vAlign w:val="center"/>
          </w:tcPr>
          <w:p>
            <w:pPr>
              <w:spacing w:after="20" w:before="20"/>
            </w:pPr>
            <w:r>
              <w:rPr>
                <w:b/>
                <w:color w:val="FFFFFF"/>
                <w:sz w:val="16"/>
              </w:rPr>
              <w:t>Interest rate band</w:t>
            </w:r>
          </w:p>
        </w:tc>
        <w:tc>
          <w:tcPr>
            <w:tcW w:type="dxa" w:w="2455"/>
            <w:shd w:fill="16304D"/>
            <w:vAlign w:val="center"/>
          </w:tcPr>
          <w:p>
            <w:pPr>
              <w:spacing w:after="20" w:before="20"/>
              <w:jc w:val="right"/>
            </w:pPr>
            <w:r>
              <w:rPr>
                <w:b/>
                <w:color w:val="FFFFFF"/>
                <w:sz w:val="16"/>
              </w:rPr>
              <w:t>Loans</w:t>
            </w:r>
          </w:p>
        </w:tc>
        <w:tc>
          <w:tcPr>
            <w:tcW w:type="dxa" w:w="2455"/>
            <w:shd w:fill="16304D"/>
            <w:vAlign w:val="center"/>
          </w:tcPr>
          <w:p>
            <w:pPr>
              <w:spacing w:after="20" w:before="20"/>
              <w:jc w:val="right"/>
            </w:pPr>
            <w:r>
              <w:rPr>
                <w:b/>
                <w:color w:val="FFFFFF"/>
                <w:sz w:val="16"/>
              </w:rPr>
              <w:t>Defaulted</w:t>
            </w:r>
          </w:p>
        </w:tc>
        <w:tc>
          <w:tcPr>
            <w:tcW w:type="dxa" w:w="2455"/>
            <w:shd w:fill="16304D"/>
            <w:vAlign w:val="center"/>
          </w:tcPr>
          <w:p>
            <w:pPr>
              <w:spacing w:after="20" w:before="20"/>
              <w:jc w:val="right"/>
            </w:pPr>
            <w:r>
              <w:rPr>
                <w:b/>
                <w:color w:val="FFFFFF"/>
                <w:sz w:val="16"/>
              </w:rPr>
              <w:t>Default %</w:t>
            </w:r>
          </w:p>
        </w:tc>
      </w:tr>
      <w:tr>
        <w:trPr>
          <w:cantSplit/>
        </w:trPr>
        <w:tc>
          <w:tcPr>
            <w:tcW w:type="dxa" w:w="2455"/>
            <w:vAlign w:val="center"/>
          </w:tcPr>
          <w:p>
            <w:pPr>
              <w:spacing w:after="20" w:before="20"/>
            </w:pPr>
            <w:r>
              <w:rPr>
                <w:sz w:val="16"/>
              </w:rPr>
              <w:t>29%+</w:t>
            </w:r>
          </w:p>
        </w:tc>
        <w:tc>
          <w:tcPr>
            <w:tcW w:type="dxa" w:w="2455"/>
            <w:vAlign w:val="center"/>
          </w:tcPr>
          <w:p>
            <w:pPr>
              <w:spacing w:after="20" w:before="20"/>
              <w:jc w:val="right"/>
            </w:pPr>
            <w:r>
              <w:rPr>
                <w:sz w:val="16"/>
              </w:rPr>
              <w:t>8,878</w:t>
            </w:r>
          </w:p>
        </w:tc>
        <w:tc>
          <w:tcPr>
            <w:tcW w:type="dxa" w:w="2455"/>
            <w:vAlign w:val="center"/>
          </w:tcPr>
          <w:p>
            <w:pPr>
              <w:spacing w:after="20" w:before="20"/>
              <w:jc w:val="right"/>
            </w:pPr>
            <w:r>
              <w:rPr>
                <w:sz w:val="16"/>
              </w:rPr>
              <w:t>1,206</w:t>
            </w:r>
          </w:p>
        </w:tc>
        <w:tc>
          <w:tcPr>
            <w:tcW w:type="dxa" w:w="2455"/>
            <w:vAlign w:val="center"/>
          </w:tcPr>
          <w:p>
            <w:pPr>
              <w:spacing w:after="20" w:before="20"/>
              <w:jc w:val="right"/>
            </w:pPr>
            <w:r>
              <w:rPr>
                <w:sz w:val="16"/>
              </w:rPr>
              <w:t>13.58%</w:t>
            </w:r>
          </w:p>
        </w:tc>
      </w:tr>
      <w:tr>
        <w:trPr>
          <w:cantSplit/>
        </w:trPr>
        <w:tc>
          <w:tcPr>
            <w:tcW w:type="dxa" w:w="2455"/>
            <w:vAlign w:val="center"/>
          </w:tcPr>
          <w:p>
            <w:pPr>
              <w:spacing w:after="20" w:before="20"/>
            </w:pPr>
            <w:r>
              <w:rPr>
                <w:sz w:val="16"/>
              </w:rPr>
              <w:t>Below 15%</w:t>
            </w:r>
          </w:p>
        </w:tc>
        <w:tc>
          <w:tcPr>
            <w:tcW w:type="dxa" w:w="2455"/>
            <w:vAlign w:val="center"/>
          </w:tcPr>
          <w:p>
            <w:pPr>
              <w:spacing w:after="20" w:before="20"/>
              <w:jc w:val="right"/>
            </w:pPr>
            <w:r>
              <w:rPr>
                <w:sz w:val="16"/>
              </w:rPr>
              <w:t>10,348</w:t>
            </w:r>
          </w:p>
        </w:tc>
        <w:tc>
          <w:tcPr>
            <w:tcW w:type="dxa" w:w="2455"/>
            <w:vAlign w:val="center"/>
          </w:tcPr>
          <w:p>
            <w:pPr>
              <w:spacing w:after="20" w:before="20"/>
              <w:jc w:val="right"/>
            </w:pPr>
            <w:r>
              <w:rPr>
                <w:sz w:val="16"/>
              </w:rPr>
              <w:t>1,390</w:t>
            </w:r>
          </w:p>
        </w:tc>
        <w:tc>
          <w:tcPr>
            <w:tcW w:type="dxa" w:w="2455"/>
            <w:vAlign w:val="center"/>
          </w:tcPr>
          <w:p>
            <w:pPr>
              <w:spacing w:after="20" w:before="20"/>
              <w:jc w:val="right"/>
            </w:pPr>
            <w:r>
              <w:rPr>
                <w:sz w:val="16"/>
              </w:rPr>
              <w:t>13.43%</w:t>
            </w:r>
          </w:p>
        </w:tc>
      </w:tr>
      <w:tr>
        <w:trPr>
          <w:cantSplit/>
        </w:trPr>
        <w:tc>
          <w:tcPr>
            <w:tcW w:type="dxa" w:w="2455"/>
            <w:vAlign w:val="center"/>
          </w:tcPr>
          <w:p>
            <w:pPr>
              <w:spacing w:after="20" w:before="20"/>
            </w:pPr>
            <w:r>
              <w:rPr>
                <w:sz w:val="16"/>
              </w:rPr>
              <w:t>22%–&lt;29%</w:t>
            </w:r>
          </w:p>
        </w:tc>
        <w:tc>
          <w:tcPr>
            <w:tcW w:type="dxa" w:w="2455"/>
            <w:vAlign w:val="center"/>
          </w:tcPr>
          <w:p>
            <w:pPr>
              <w:spacing w:after="20" w:before="20"/>
              <w:jc w:val="right"/>
            </w:pPr>
            <w:r>
              <w:rPr>
                <w:sz w:val="16"/>
              </w:rPr>
              <w:t>10,325</w:t>
            </w:r>
          </w:p>
        </w:tc>
        <w:tc>
          <w:tcPr>
            <w:tcW w:type="dxa" w:w="2455"/>
            <w:vAlign w:val="center"/>
          </w:tcPr>
          <w:p>
            <w:pPr>
              <w:spacing w:after="20" w:before="20"/>
              <w:jc w:val="right"/>
            </w:pPr>
            <w:r>
              <w:rPr>
                <w:sz w:val="16"/>
              </w:rPr>
              <w:t>1,364</w:t>
            </w:r>
          </w:p>
        </w:tc>
        <w:tc>
          <w:tcPr>
            <w:tcW w:type="dxa" w:w="2455"/>
            <w:vAlign w:val="center"/>
          </w:tcPr>
          <w:p>
            <w:pPr>
              <w:spacing w:after="20" w:before="20"/>
              <w:jc w:val="right"/>
            </w:pPr>
            <w:r>
              <w:rPr>
                <w:sz w:val="16"/>
              </w:rPr>
              <w:t>13.21%</w:t>
            </w:r>
          </w:p>
        </w:tc>
      </w:tr>
      <w:tr>
        <w:trPr>
          <w:cantSplit/>
        </w:trPr>
        <w:tc>
          <w:tcPr>
            <w:tcW w:type="dxa" w:w="2455"/>
            <w:vAlign w:val="center"/>
          </w:tcPr>
          <w:p>
            <w:pPr>
              <w:spacing w:after="20" w:before="20"/>
            </w:pPr>
            <w:r>
              <w:rPr>
                <w:sz w:val="16"/>
              </w:rPr>
              <w:t>15%–&lt;22%</w:t>
            </w:r>
          </w:p>
        </w:tc>
        <w:tc>
          <w:tcPr>
            <w:tcW w:type="dxa" w:w="2455"/>
            <w:vAlign w:val="center"/>
          </w:tcPr>
          <w:p>
            <w:pPr>
              <w:spacing w:after="20" w:before="20"/>
              <w:jc w:val="right"/>
            </w:pPr>
            <w:r>
              <w:rPr>
                <w:sz w:val="16"/>
              </w:rPr>
              <w:t>10,449</w:t>
            </w:r>
          </w:p>
        </w:tc>
        <w:tc>
          <w:tcPr>
            <w:tcW w:type="dxa" w:w="2455"/>
            <w:vAlign w:val="center"/>
          </w:tcPr>
          <w:p>
            <w:pPr>
              <w:spacing w:after="20" w:before="20"/>
              <w:jc w:val="right"/>
            </w:pPr>
            <w:r>
              <w:rPr>
                <w:sz w:val="16"/>
              </w:rPr>
              <w:t>1,353</w:t>
            </w:r>
          </w:p>
        </w:tc>
        <w:tc>
          <w:tcPr>
            <w:tcW w:type="dxa" w:w="2455"/>
            <w:vAlign w:val="center"/>
          </w:tcPr>
          <w:p>
            <w:pPr>
              <w:spacing w:after="20" w:before="20"/>
              <w:jc w:val="right"/>
            </w:pPr>
            <w:r>
              <w:rPr>
                <w:sz w:val="16"/>
              </w:rPr>
              <w:t>12.95%</w:t>
            </w:r>
          </w:p>
        </w:tc>
      </w:tr>
    </w:tbl>
    <w:p>
      <w:r>
        <w:t>Defaulted-record shares vary only 0.63 percentage points across rate bands, from 12.95% to 13.58%, without a monotonic pattern. No claim about pricing causing default can be drawn from this cross-sectional comparison.</w:t>
      </w:r>
    </w:p>
    <w:p>
      <w:pPr>
        <w:pStyle w:val="Heading2"/>
      </w:pPr>
      <w:r>
        <w:t>Loan products</w:t>
      </w:r>
    </w:p>
    <w:tbl>
      <w:tblPr>
        <w:tblStyle w:val="LightShading-Accent1"/>
        <w:tblW w:type="auto" w:w="0"/>
        <w:jc w:val="center"/>
        <w:tblLook w:firstColumn="1" w:firstRow="1" w:lastColumn="0" w:lastRow="0" w:noHBand="0" w:noVBand="1" w:val="04A0"/>
      </w:tblPr>
      <w:tblGrid>
        <w:gridCol w:w="1964"/>
        <w:gridCol w:w="1964"/>
        <w:gridCol w:w="1964"/>
        <w:gridCol w:w="1964"/>
        <w:gridCol w:w="1964"/>
      </w:tblGrid>
      <w:tr>
        <w:trPr>
          <w:cantSplit/>
        </w:trPr>
        <w:tc>
          <w:tcPr>
            <w:tcW w:type="dxa" w:w="1964"/>
            <w:shd w:fill="16304D"/>
            <w:vAlign w:val="center"/>
          </w:tcPr>
          <w:p>
            <w:pPr>
              <w:spacing w:after="20" w:before="20"/>
            </w:pPr>
            <w:r>
              <w:rPr>
                <w:b/>
                <w:color w:val="FFFFFF"/>
                <w:sz w:val="16"/>
              </w:rPr>
              <w:t>Loan product</w:t>
            </w:r>
          </w:p>
        </w:tc>
        <w:tc>
          <w:tcPr>
            <w:tcW w:type="dxa" w:w="1964"/>
            <w:shd w:fill="16304D"/>
            <w:vAlign w:val="center"/>
          </w:tcPr>
          <w:p>
            <w:pPr>
              <w:spacing w:after="20" w:before="20"/>
              <w:jc w:val="right"/>
            </w:pPr>
            <w:r>
              <w:rPr>
                <w:b/>
                <w:color w:val="FFFFFF"/>
                <w:sz w:val="16"/>
              </w:rPr>
              <w:t>Loans</w:t>
            </w:r>
          </w:p>
        </w:tc>
        <w:tc>
          <w:tcPr>
            <w:tcW w:type="dxa" w:w="1964"/>
            <w:shd w:fill="16304D"/>
            <w:vAlign w:val="center"/>
          </w:tcPr>
          <w:p>
            <w:pPr>
              <w:spacing w:after="20" w:before="20"/>
              <w:jc w:val="right"/>
            </w:pPr>
            <w:r>
              <w:rPr>
                <w:b/>
                <w:color w:val="FFFFFF"/>
                <w:sz w:val="16"/>
              </w:rPr>
              <w:t>Defaulted</w:t>
            </w:r>
          </w:p>
        </w:tc>
        <w:tc>
          <w:tcPr>
            <w:tcW w:type="dxa" w:w="1964"/>
            <w:shd w:fill="16304D"/>
            <w:vAlign w:val="center"/>
          </w:tcPr>
          <w:p>
            <w:pPr>
              <w:spacing w:after="20" w:before="20"/>
              <w:jc w:val="right"/>
            </w:pPr>
            <w:r>
              <w:rPr>
                <w:b/>
                <w:color w:val="FFFFFF"/>
                <w:sz w:val="16"/>
              </w:rPr>
              <w:t>Default %</w:t>
            </w:r>
          </w:p>
        </w:tc>
        <w:tc>
          <w:tcPr>
            <w:tcW w:type="dxa" w:w="1964"/>
            <w:shd w:fill="16304D"/>
            <w:vAlign w:val="center"/>
          </w:tcPr>
          <w:p>
            <w:pPr>
              <w:spacing w:after="20" w:before="20"/>
              <w:jc w:val="right"/>
            </w:pPr>
            <w:r>
              <w:rPr>
                <w:b/>
                <w:color w:val="FFFFFF"/>
                <w:sz w:val="16"/>
              </w:rPr>
              <w:t>Total principal</w:t>
            </w:r>
          </w:p>
        </w:tc>
      </w:tr>
      <w:tr>
        <w:trPr>
          <w:cantSplit/>
        </w:trPr>
        <w:tc>
          <w:tcPr>
            <w:tcW w:type="dxa" w:w="1964"/>
            <w:vAlign w:val="center"/>
          </w:tcPr>
          <w:p>
            <w:pPr>
              <w:spacing w:after="20" w:before="20"/>
            </w:pPr>
            <w:r>
              <w:rPr>
                <w:sz w:val="16"/>
              </w:rPr>
              <w:t>Business</w:t>
            </w:r>
          </w:p>
        </w:tc>
        <w:tc>
          <w:tcPr>
            <w:tcW w:type="dxa" w:w="1964"/>
            <w:vAlign w:val="center"/>
          </w:tcPr>
          <w:p>
            <w:pPr>
              <w:spacing w:after="20" w:before="20"/>
              <w:jc w:val="right"/>
            </w:pPr>
            <w:r>
              <w:rPr>
                <w:sz w:val="16"/>
              </w:rPr>
              <w:t>10,045</w:t>
            </w:r>
          </w:p>
        </w:tc>
        <w:tc>
          <w:tcPr>
            <w:tcW w:type="dxa" w:w="1964"/>
            <w:vAlign w:val="center"/>
          </w:tcPr>
          <w:p>
            <w:pPr>
              <w:spacing w:after="20" w:before="20"/>
              <w:jc w:val="right"/>
            </w:pPr>
            <w:r>
              <w:rPr>
                <w:sz w:val="16"/>
              </w:rPr>
              <w:t>1,406</w:t>
            </w:r>
          </w:p>
        </w:tc>
        <w:tc>
          <w:tcPr>
            <w:tcW w:type="dxa" w:w="1964"/>
            <w:vAlign w:val="center"/>
          </w:tcPr>
          <w:p>
            <w:pPr>
              <w:spacing w:after="20" w:before="20"/>
              <w:jc w:val="right"/>
            </w:pPr>
            <w:r>
              <w:rPr>
                <w:sz w:val="16"/>
              </w:rPr>
              <w:t>14.00%</w:t>
            </w:r>
          </w:p>
        </w:tc>
        <w:tc>
          <w:tcPr>
            <w:tcW w:type="dxa" w:w="1964"/>
            <w:vAlign w:val="center"/>
          </w:tcPr>
          <w:p>
            <w:pPr>
              <w:spacing w:after="20" w:before="20"/>
              <w:jc w:val="right"/>
            </w:pPr>
            <w:r>
              <w:rPr>
                <w:sz w:val="16"/>
              </w:rPr>
              <w:t>K1,434.40m</w:t>
            </w:r>
          </w:p>
        </w:tc>
      </w:tr>
      <w:tr>
        <w:trPr>
          <w:cantSplit/>
        </w:trPr>
        <w:tc>
          <w:tcPr>
            <w:tcW w:type="dxa" w:w="1964"/>
            <w:vAlign w:val="center"/>
          </w:tcPr>
          <w:p>
            <w:pPr>
              <w:spacing w:after="20" w:before="20"/>
            </w:pPr>
            <w:r>
              <w:rPr>
                <w:sz w:val="16"/>
              </w:rPr>
              <w:t>Vehicle</w:t>
            </w:r>
          </w:p>
        </w:tc>
        <w:tc>
          <w:tcPr>
            <w:tcW w:type="dxa" w:w="1964"/>
            <w:vAlign w:val="center"/>
          </w:tcPr>
          <w:p>
            <w:pPr>
              <w:spacing w:after="20" w:before="20"/>
              <w:jc w:val="right"/>
            </w:pPr>
            <w:r>
              <w:rPr>
                <w:sz w:val="16"/>
              </w:rPr>
              <w:t>5,571</w:t>
            </w:r>
          </w:p>
        </w:tc>
        <w:tc>
          <w:tcPr>
            <w:tcW w:type="dxa" w:w="1964"/>
            <w:vAlign w:val="center"/>
          </w:tcPr>
          <w:p>
            <w:pPr>
              <w:spacing w:after="20" w:before="20"/>
              <w:jc w:val="right"/>
            </w:pPr>
            <w:r>
              <w:rPr>
                <w:sz w:val="16"/>
              </w:rPr>
              <w:t>745</w:t>
            </w:r>
          </w:p>
        </w:tc>
        <w:tc>
          <w:tcPr>
            <w:tcW w:type="dxa" w:w="1964"/>
            <w:vAlign w:val="center"/>
          </w:tcPr>
          <w:p>
            <w:pPr>
              <w:spacing w:after="20" w:before="20"/>
              <w:jc w:val="right"/>
            </w:pPr>
            <w:r>
              <w:rPr>
                <w:sz w:val="16"/>
              </w:rPr>
              <w:t>13.37%</w:t>
            </w:r>
          </w:p>
        </w:tc>
        <w:tc>
          <w:tcPr>
            <w:tcW w:type="dxa" w:w="1964"/>
            <w:vAlign w:val="center"/>
          </w:tcPr>
          <w:p>
            <w:pPr>
              <w:spacing w:after="20" w:before="20"/>
              <w:jc w:val="right"/>
            </w:pPr>
            <w:r>
              <w:rPr>
                <w:sz w:val="16"/>
              </w:rPr>
              <w:t>K788.06m</w:t>
            </w:r>
          </w:p>
        </w:tc>
      </w:tr>
      <w:tr>
        <w:trPr>
          <w:cantSplit/>
        </w:trPr>
        <w:tc>
          <w:tcPr>
            <w:tcW w:type="dxa" w:w="1964"/>
            <w:vAlign w:val="center"/>
          </w:tcPr>
          <w:p>
            <w:pPr>
              <w:spacing w:after="20" w:before="20"/>
            </w:pPr>
            <w:r>
              <w:rPr>
                <w:sz w:val="16"/>
              </w:rPr>
              <w:t>Education</w:t>
            </w:r>
          </w:p>
        </w:tc>
        <w:tc>
          <w:tcPr>
            <w:tcW w:type="dxa" w:w="1964"/>
            <w:vAlign w:val="center"/>
          </w:tcPr>
          <w:p>
            <w:pPr>
              <w:spacing w:after="20" w:before="20"/>
              <w:jc w:val="right"/>
            </w:pPr>
            <w:r>
              <w:rPr>
                <w:sz w:val="16"/>
              </w:rPr>
              <w:t>4,669</w:t>
            </w:r>
          </w:p>
        </w:tc>
        <w:tc>
          <w:tcPr>
            <w:tcW w:type="dxa" w:w="1964"/>
            <w:vAlign w:val="center"/>
          </w:tcPr>
          <w:p>
            <w:pPr>
              <w:spacing w:after="20" w:before="20"/>
              <w:jc w:val="right"/>
            </w:pPr>
            <w:r>
              <w:rPr>
                <w:sz w:val="16"/>
              </w:rPr>
              <w:t>618</w:t>
            </w:r>
          </w:p>
        </w:tc>
        <w:tc>
          <w:tcPr>
            <w:tcW w:type="dxa" w:w="1964"/>
            <w:vAlign w:val="center"/>
          </w:tcPr>
          <w:p>
            <w:pPr>
              <w:spacing w:after="20" w:before="20"/>
              <w:jc w:val="right"/>
            </w:pPr>
            <w:r>
              <w:rPr>
                <w:sz w:val="16"/>
              </w:rPr>
              <w:t>13.24%</w:t>
            </w:r>
          </w:p>
        </w:tc>
        <w:tc>
          <w:tcPr>
            <w:tcW w:type="dxa" w:w="1964"/>
            <w:vAlign w:val="center"/>
          </w:tcPr>
          <w:p>
            <w:pPr>
              <w:spacing w:after="20" w:before="20"/>
              <w:jc w:val="right"/>
            </w:pPr>
            <w:r>
              <w:rPr>
                <w:sz w:val="16"/>
              </w:rPr>
              <w:t>K660.80m</w:t>
            </w:r>
          </w:p>
        </w:tc>
      </w:tr>
      <w:tr>
        <w:trPr>
          <w:cantSplit/>
        </w:trPr>
        <w:tc>
          <w:tcPr>
            <w:tcW w:type="dxa" w:w="1964"/>
            <w:vAlign w:val="center"/>
          </w:tcPr>
          <w:p>
            <w:pPr>
              <w:spacing w:after="20" w:before="20"/>
            </w:pPr>
            <w:r>
              <w:rPr>
                <w:sz w:val="16"/>
              </w:rPr>
              <w:t>Personal</w:t>
            </w:r>
          </w:p>
        </w:tc>
        <w:tc>
          <w:tcPr>
            <w:tcW w:type="dxa" w:w="1964"/>
            <w:vAlign w:val="center"/>
          </w:tcPr>
          <w:p>
            <w:pPr>
              <w:spacing w:after="20" w:before="20"/>
              <w:jc w:val="right"/>
            </w:pPr>
            <w:r>
              <w:rPr>
                <w:sz w:val="16"/>
              </w:rPr>
              <w:t>12,842</w:t>
            </w:r>
          </w:p>
        </w:tc>
        <w:tc>
          <w:tcPr>
            <w:tcW w:type="dxa" w:w="1964"/>
            <w:vAlign w:val="center"/>
          </w:tcPr>
          <w:p>
            <w:pPr>
              <w:spacing w:after="20" w:before="20"/>
              <w:jc w:val="right"/>
            </w:pPr>
            <w:r>
              <w:rPr>
                <w:sz w:val="16"/>
              </w:rPr>
              <w:t>1,685</w:t>
            </w:r>
          </w:p>
        </w:tc>
        <w:tc>
          <w:tcPr>
            <w:tcW w:type="dxa" w:w="1964"/>
            <w:vAlign w:val="center"/>
          </w:tcPr>
          <w:p>
            <w:pPr>
              <w:spacing w:after="20" w:before="20"/>
              <w:jc w:val="right"/>
            </w:pPr>
            <w:r>
              <w:rPr>
                <w:sz w:val="16"/>
              </w:rPr>
              <w:t>13.12%</w:t>
            </w:r>
          </w:p>
        </w:tc>
        <w:tc>
          <w:tcPr>
            <w:tcW w:type="dxa" w:w="1964"/>
            <w:vAlign w:val="center"/>
          </w:tcPr>
          <w:p>
            <w:pPr>
              <w:spacing w:after="20" w:before="20"/>
              <w:jc w:val="right"/>
            </w:pPr>
            <w:r>
              <w:rPr>
                <w:sz w:val="16"/>
              </w:rPr>
              <w:t>K1,806.55m</w:t>
            </w:r>
          </w:p>
        </w:tc>
      </w:tr>
      <w:tr>
        <w:trPr>
          <w:cantSplit/>
        </w:trPr>
        <w:tc>
          <w:tcPr>
            <w:tcW w:type="dxa" w:w="1964"/>
            <w:vAlign w:val="center"/>
          </w:tcPr>
          <w:p>
            <w:pPr>
              <w:spacing w:after="20" w:before="20"/>
            </w:pPr>
            <w:r>
              <w:rPr>
                <w:sz w:val="16"/>
              </w:rPr>
              <w:t>Agriculture</w:t>
            </w:r>
          </w:p>
        </w:tc>
        <w:tc>
          <w:tcPr>
            <w:tcW w:type="dxa" w:w="1964"/>
            <w:vAlign w:val="center"/>
          </w:tcPr>
          <w:p>
            <w:pPr>
              <w:spacing w:after="20" w:before="20"/>
              <w:jc w:val="right"/>
            </w:pPr>
            <w:r>
              <w:rPr>
                <w:sz w:val="16"/>
              </w:rPr>
              <w:t>6,873</w:t>
            </w:r>
          </w:p>
        </w:tc>
        <w:tc>
          <w:tcPr>
            <w:tcW w:type="dxa" w:w="1964"/>
            <w:vAlign w:val="center"/>
          </w:tcPr>
          <w:p>
            <w:pPr>
              <w:spacing w:after="20" w:before="20"/>
              <w:jc w:val="right"/>
            </w:pPr>
            <w:r>
              <w:rPr>
                <w:sz w:val="16"/>
              </w:rPr>
              <w:t>859</w:t>
            </w:r>
          </w:p>
        </w:tc>
        <w:tc>
          <w:tcPr>
            <w:tcW w:type="dxa" w:w="1964"/>
            <w:vAlign w:val="center"/>
          </w:tcPr>
          <w:p>
            <w:pPr>
              <w:spacing w:after="20" w:before="20"/>
              <w:jc w:val="right"/>
            </w:pPr>
            <w:r>
              <w:rPr>
                <w:sz w:val="16"/>
              </w:rPr>
              <w:t>12.50%</w:t>
            </w:r>
          </w:p>
        </w:tc>
        <w:tc>
          <w:tcPr>
            <w:tcW w:type="dxa" w:w="1964"/>
            <w:vAlign w:val="center"/>
          </w:tcPr>
          <w:p>
            <w:pPr>
              <w:spacing w:after="20" w:before="20"/>
              <w:jc w:val="right"/>
            </w:pPr>
            <w:r>
              <w:rPr>
                <w:sz w:val="16"/>
              </w:rPr>
              <w:t>K983.08m</w:t>
            </w:r>
          </w:p>
        </w:tc>
      </w:tr>
    </w:tbl>
    <w:p>
      <w:r>
        <w:t>Business loans have the highest loan-product defaulted-record share at 14.00%, while Agriculture has the lowest at 12.50%. Personal loans produce the largest absolute number of defaulted records (1,685), largely reflecting their portfolio volume.</w:t>
      </w:r>
    </w:p>
    <w:p>
      <w:pPr>
        <w:pStyle w:val="Heading1"/>
      </w:pPr>
      <w:r>
        <w:t>3. Customer borrowing behaviour</w:t>
      </w:r>
    </w:p>
    <w:tbl>
      <w:tblPr>
        <w:tblStyle w:val="LightShading-Accent1"/>
        <w:tblW w:type="auto" w:w="0"/>
        <w:jc w:val="center"/>
        <w:tblLook w:firstColumn="1" w:firstRow="1" w:lastColumn="0" w:lastRow="0" w:noHBand="0" w:noVBand="1" w:val="04A0"/>
      </w:tblPr>
      <w:tblGrid>
        <w:gridCol w:w="1403"/>
        <w:gridCol w:w="1403"/>
        <w:gridCol w:w="1403"/>
        <w:gridCol w:w="1403"/>
        <w:gridCol w:w="1403"/>
        <w:gridCol w:w="1403"/>
        <w:gridCol w:w="1403"/>
      </w:tblGrid>
      <w:tr>
        <w:trPr>
          <w:cantSplit/>
        </w:trPr>
        <w:tc>
          <w:tcPr>
            <w:tcW w:type="dxa" w:w="1403"/>
            <w:shd w:fill="16304D"/>
            <w:vAlign w:val="center"/>
          </w:tcPr>
          <w:p>
            <w:pPr>
              <w:spacing w:after="20" w:before="20"/>
            </w:pPr>
            <w:r>
              <w:rPr>
                <w:b/>
                <w:color w:val="FFFFFF"/>
                <w:sz w:val="16"/>
              </w:rPr>
              <w:t>Loans per customer</w:t>
            </w:r>
          </w:p>
        </w:tc>
        <w:tc>
          <w:tcPr>
            <w:tcW w:type="dxa" w:w="1403"/>
            <w:shd w:fill="16304D"/>
            <w:vAlign w:val="center"/>
          </w:tcPr>
          <w:p>
            <w:pPr>
              <w:spacing w:after="20" w:before="20"/>
              <w:jc w:val="right"/>
            </w:pPr>
            <w:r>
              <w:rPr>
                <w:b/>
                <w:color w:val="FFFFFF"/>
                <w:sz w:val="16"/>
              </w:rPr>
              <w:t>Customers</w:t>
            </w:r>
          </w:p>
        </w:tc>
        <w:tc>
          <w:tcPr>
            <w:tcW w:type="dxa" w:w="1403"/>
            <w:shd w:fill="16304D"/>
            <w:vAlign w:val="center"/>
          </w:tcPr>
          <w:p>
            <w:pPr>
              <w:spacing w:after="20" w:before="20"/>
              <w:jc w:val="right"/>
            </w:pPr>
            <w:r>
              <w:rPr>
                <w:b/>
                <w:color w:val="FFFFFF"/>
                <w:sz w:val="16"/>
              </w:rPr>
              <w:t>Loan records</w:t>
            </w:r>
          </w:p>
        </w:tc>
        <w:tc>
          <w:tcPr>
            <w:tcW w:type="dxa" w:w="1403"/>
            <w:shd w:fill="16304D"/>
            <w:vAlign w:val="center"/>
          </w:tcPr>
          <w:p>
            <w:pPr>
              <w:spacing w:after="20" w:before="20"/>
              <w:jc w:val="right"/>
            </w:pPr>
            <w:r>
              <w:rPr>
                <w:b/>
                <w:color w:val="FFFFFF"/>
                <w:sz w:val="16"/>
              </w:rPr>
              <w:t>Defaulted loans</w:t>
            </w:r>
          </w:p>
        </w:tc>
        <w:tc>
          <w:tcPr>
            <w:tcW w:type="dxa" w:w="1403"/>
            <w:shd w:fill="16304D"/>
            <w:vAlign w:val="center"/>
          </w:tcPr>
          <w:p>
            <w:pPr>
              <w:spacing w:after="20" w:before="20"/>
              <w:jc w:val="right"/>
            </w:pPr>
            <w:r>
              <w:rPr>
                <w:b/>
                <w:color w:val="FFFFFF"/>
                <w:sz w:val="16"/>
              </w:rPr>
              <w:t>Loan default %</w:t>
            </w:r>
          </w:p>
        </w:tc>
        <w:tc>
          <w:tcPr>
            <w:tcW w:type="dxa" w:w="1403"/>
            <w:shd w:fill="16304D"/>
            <w:vAlign w:val="center"/>
          </w:tcPr>
          <w:p>
            <w:pPr>
              <w:spacing w:after="20" w:before="20"/>
              <w:jc w:val="right"/>
            </w:pPr>
            <w:r>
              <w:rPr>
                <w:b/>
                <w:color w:val="FFFFFF"/>
                <w:sz w:val="16"/>
              </w:rPr>
              <w:t>Customers with default</w:t>
            </w:r>
          </w:p>
        </w:tc>
        <w:tc>
          <w:tcPr>
            <w:tcW w:type="dxa" w:w="1403"/>
            <w:shd w:fill="16304D"/>
            <w:vAlign w:val="center"/>
          </w:tcPr>
          <w:p>
            <w:pPr>
              <w:spacing w:after="20" w:before="20"/>
              <w:jc w:val="right"/>
            </w:pPr>
            <w:r>
              <w:rPr>
                <w:b/>
                <w:color w:val="FFFFFF"/>
                <w:sz w:val="16"/>
              </w:rPr>
              <w:t>Customer default %</w:t>
            </w:r>
          </w:p>
        </w:tc>
      </w:tr>
      <w:tr>
        <w:trPr>
          <w:cantSplit/>
        </w:trPr>
        <w:tc>
          <w:tcPr>
            <w:tcW w:type="dxa" w:w="1403"/>
            <w:vAlign w:val="center"/>
          </w:tcPr>
          <w:p>
            <w:pPr>
              <w:spacing w:after="20" w:before="20"/>
            </w:pPr>
            <w:r>
              <w:rPr>
                <w:sz w:val="16"/>
              </w:rPr>
              <w:t>0 loans</w:t>
            </w:r>
          </w:p>
        </w:tc>
        <w:tc>
          <w:tcPr>
            <w:tcW w:type="dxa" w:w="1403"/>
            <w:vAlign w:val="center"/>
          </w:tcPr>
          <w:p>
            <w:pPr>
              <w:spacing w:after="20" w:before="20"/>
              <w:jc w:val="right"/>
            </w:pPr>
            <w:r>
              <w:rPr>
                <w:sz w:val="16"/>
              </w:rPr>
              <w:t>2,757</w:t>
            </w:r>
          </w:p>
        </w:tc>
        <w:tc>
          <w:tcPr>
            <w:tcW w:type="dxa" w:w="1403"/>
            <w:vAlign w:val="center"/>
          </w:tcPr>
          <w:p>
            <w:pPr>
              <w:spacing w:after="20" w:before="20"/>
              <w:jc w:val="right"/>
            </w:pPr>
            <w:r>
              <w:rPr>
                <w:sz w:val="16"/>
              </w:rPr>
              <w:t>0</w:t>
            </w:r>
          </w:p>
        </w:tc>
        <w:tc>
          <w:tcPr>
            <w:tcW w:type="dxa" w:w="1403"/>
            <w:vAlign w:val="center"/>
          </w:tcPr>
          <w:p>
            <w:pPr>
              <w:spacing w:after="20" w:before="20"/>
              <w:jc w:val="right"/>
            </w:pPr>
            <w:r>
              <w:rPr>
                <w:sz w:val="16"/>
              </w:rPr>
              <w:t>0</w:t>
            </w:r>
          </w:p>
        </w:tc>
        <w:tc>
          <w:tcPr>
            <w:tcW w:type="dxa" w:w="1403"/>
            <w:vAlign w:val="center"/>
          </w:tcPr>
          <w:p>
            <w:pPr>
              <w:spacing w:after="20" w:before="20"/>
              <w:jc w:val="right"/>
            </w:pPr>
            <w:r>
              <w:rPr>
                <w:sz w:val="16"/>
              </w:rPr>
              <w:t>N/A</w:t>
            </w:r>
          </w:p>
        </w:tc>
        <w:tc>
          <w:tcPr>
            <w:tcW w:type="dxa" w:w="1403"/>
            <w:vAlign w:val="center"/>
          </w:tcPr>
          <w:p>
            <w:pPr>
              <w:spacing w:after="20" w:before="20"/>
              <w:jc w:val="right"/>
            </w:pPr>
            <w:r>
              <w:rPr>
                <w:sz w:val="16"/>
              </w:rPr>
              <w:t>0</w:t>
            </w:r>
          </w:p>
        </w:tc>
        <w:tc>
          <w:tcPr>
            <w:tcW w:type="dxa" w:w="1403"/>
            <w:vAlign w:val="center"/>
          </w:tcPr>
          <w:p>
            <w:pPr>
              <w:spacing w:after="20" w:before="20"/>
              <w:jc w:val="right"/>
            </w:pPr>
            <w:r>
              <w:rPr>
                <w:sz w:val="16"/>
              </w:rPr>
              <w:t>0.00%</w:t>
            </w:r>
          </w:p>
        </w:tc>
      </w:tr>
      <w:tr>
        <w:trPr>
          <w:cantSplit/>
        </w:trPr>
        <w:tc>
          <w:tcPr>
            <w:tcW w:type="dxa" w:w="1403"/>
            <w:vAlign w:val="center"/>
          </w:tcPr>
          <w:p>
            <w:pPr>
              <w:spacing w:after="20" w:before="20"/>
            </w:pPr>
            <w:r>
              <w:rPr>
                <w:sz w:val="16"/>
              </w:rPr>
              <w:t>1 loan</w:t>
            </w:r>
          </w:p>
        </w:tc>
        <w:tc>
          <w:tcPr>
            <w:tcW w:type="dxa" w:w="1403"/>
            <w:vAlign w:val="center"/>
          </w:tcPr>
          <w:p>
            <w:pPr>
              <w:spacing w:after="20" w:before="20"/>
              <w:jc w:val="right"/>
            </w:pPr>
            <w:r>
              <w:rPr>
                <w:sz w:val="16"/>
              </w:rPr>
              <w:t>5,480</w:t>
            </w:r>
          </w:p>
        </w:tc>
        <w:tc>
          <w:tcPr>
            <w:tcW w:type="dxa" w:w="1403"/>
            <w:vAlign w:val="center"/>
          </w:tcPr>
          <w:p>
            <w:pPr>
              <w:spacing w:after="20" w:before="20"/>
              <w:jc w:val="right"/>
            </w:pPr>
            <w:r>
              <w:rPr>
                <w:sz w:val="16"/>
              </w:rPr>
              <w:t>5,480</w:t>
            </w:r>
          </w:p>
        </w:tc>
        <w:tc>
          <w:tcPr>
            <w:tcW w:type="dxa" w:w="1403"/>
            <w:vAlign w:val="center"/>
          </w:tcPr>
          <w:p>
            <w:pPr>
              <w:spacing w:after="20" w:before="20"/>
              <w:jc w:val="right"/>
            </w:pPr>
            <w:r>
              <w:rPr>
                <w:sz w:val="16"/>
              </w:rPr>
              <w:t>693</w:t>
            </w:r>
          </w:p>
        </w:tc>
        <w:tc>
          <w:tcPr>
            <w:tcW w:type="dxa" w:w="1403"/>
            <w:vAlign w:val="center"/>
          </w:tcPr>
          <w:p>
            <w:pPr>
              <w:spacing w:after="20" w:before="20"/>
              <w:jc w:val="right"/>
            </w:pPr>
            <w:r>
              <w:rPr>
                <w:sz w:val="16"/>
              </w:rPr>
              <w:t>12.65</w:t>
            </w:r>
          </w:p>
        </w:tc>
        <w:tc>
          <w:tcPr>
            <w:tcW w:type="dxa" w:w="1403"/>
            <w:vAlign w:val="center"/>
          </w:tcPr>
          <w:p>
            <w:pPr>
              <w:spacing w:after="20" w:before="20"/>
              <w:jc w:val="right"/>
            </w:pPr>
            <w:r>
              <w:rPr>
                <w:sz w:val="16"/>
              </w:rPr>
              <w:t>693</w:t>
            </w:r>
          </w:p>
        </w:tc>
        <w:tc>
          <w:tcPr>
            <w:tcW w:type="dxa" w:w="1403"/>
            <w:vAlign w:val="center"/>
          </w:tcPr>
          <w:p>
            <w:pPr>
              <w:spacing w:after="20" w:before="20"/>
              <w:jc w:val="right"/>
            </w:pPr>
            <w:r>
              <w:rPr>
                <w:sz w:val="16"/>
              </w:rPr>
              <w:t>12.65%</w:t>
            </w:r>
          </w:p>
        </w:tc>
      </w:tr>
      <w:tr>
        <w:trPr>
          <w:cantSplit/>
        </w:trPr>
        <w:tc>
          <w:tcPr>
            <w:tcW w:type="dxa" w:w="1403"/>
            <w:vAlign w:val="center"/>
          </w:tcPr>
          <w:p>
            <w:pPr>
              <w:spacing w:after="20" w:before="20"/>
            </w:pPr>
            <w:r>
              <w:rPr>
                <w:sz w:val="16"/>
              </w:rPr>
              <w:t>2 loans</w:t>
            </w:r>
          </w:p>
        </w:tc>
        <w:tc>
          <w:tcPr>
            <w:tcW w:type="dxa" w:w="1403"/>
            <w:vAlign w:val="center"/>
          </w:tcPr>
          <w:p>
            <w:pPr>
              <w:spacing w:after="20" w:before="20"/>
              <w:jc w:val="right"/>
            </w:pPr>
            <w:r>
              <w:rPr>
                <w:sz w:val="16"/>
              </w:rPr>
              <w:t>5,382</w:t>
            </w:r>
          </w:p>
        </w:tc>
        <w:tc>
          <w:tcPr>
            <w:tcW w:type="dxa" w:w="1403"/>
            <w:vAlign w:val="center"/>
          </w:tcPr>
          <w:p>
            <w:pPr>
              <w:spacing w:after="20" w:before="20"/>
              <w:jc w:val="right"/>
            </w:pPr>
            <w:r>
              <w:rPr>
                <w:sz w:val="16"/>
              </w:rPr>
              <w:t>10,764</w:t>
            </w:r>
          </w:p>
        </w:tc>
        <w:tc>
          <w:tcPr>
            <w:tcW w:type="dxa" w:w="1403"/>
            <w:vAlign w:val="center"/>
          </w:tcPr>
          <w:p>
            <w:pPr>
              <w:spacing w:after="20" w:before="20"/>
              <w:jc w:val="right"/>
            </w:pPr>
            <w:r>
              <w:rPr>
                <w:sz w:val="16"/>
              </w:rPr>
              <w:t>1,427</w:t>
            </w:r>
          </w:p>
        </w:tc>
        <w:tc>
          <w:tcPr>
            <w:tcW w:type="dxa" w:w="1403"/>
            <w:vAlign w:val="center"/>
          </w:tcPr>
          <w:p>
            <w:pPr>
              <w:spacing w:after="20" w:before="20"/>
              <w:jc w:val="right"/>
            </w:pPr>
            <w:r>
              <w:rPr>
                <w:sz w:val="16"/>
              </w:rPr>
              <w:t>13.26</w:t>
            </w:r>
          </w:p>
        </w:tc>
        <w:tc>
          <w:tcPr>
            <w:tcW w:type="dxa" w:w="1403"/>
            <w:vAlign w:val="center"/>
          </w:tcPr>
          <w:p>
            <w:pPr>
              <w:spacing w:after="20" w:before="20"/>
              <w:jc w:val="right"/>
            </w:pPr>
            <w:r>
              <w:rPr>
                <w:sz w:val="16"/>
              </w:rPr>
              <w:t>1,319</w:t>
            </w:r>
          </w:p>
        </w:tc>
        <w:tc>
          <w:tcPr>
            <w:tcW w:type="dxa" w:w="1403"/>
            <w:vAlign w:val="center"/>
          </w:tcPr>
          <w:p>
            <w:pPr>
              <w:spacing w:after="20" w:before="20"/>
              <w:jc w:val="right"/>
            </w:pPr>
            <w:r>
              <w:rPr>
                <w:sz w:val="16"/>
              </w:rPr>
              <w:t>24.51%</w:t>
            </w:r>
          </w:p>
        </w:tc>
      </w:tr>
      <w:tr>
        <w:trPr>
          <w:cantSplit/>
        </w:trPr>
        <w:tc>
          <w:tcPr>
            <w:tcW w:type="dxa" w:w="1403"/>
            <w:vAlign w:val="center"/>
          </w:tcPr>
          <w:p>
            <w:pPr>
              <w:spacing w:after="20" w:before="20"/>
            </w:pPr>
            <w:r>
              <w:rPr>
                <w:sz w:val="16"/>
              </w:rPr>
              <w:t>3+ loans</w:t>
            </w:r>
          </w:p>
        </w:tc>
        <w:tc>
          <w:tcPr>
            <w:tcW w:type="dxa" w:w="1403"/>
            <w:vAlign w:val="center"/>
          </w:tcPr>
          <w:p>
            <w:pPr>
              <w:spacing w:after="20" w:before="20"/>
              <w:jc w:val="right"/>
            </w:pPr>
            <w:r>
              <w:rPr>
                <w:sz w:val="16"/>
              </w:rPr>
              <w:t>6,381</w:t>
            </w:r>
          </w:p>
        </w:tc>
        <w:tc>
          <w:tcPr>
            <w:tcW w:type="dxa" w:w="1403"/>
            <w:vAlign w:val="center"/>
          </w:tcPr>
          <w:p>
            <w:pPr>
              <w:spacing w:after="20" w:before="20"/>
              <w:jc w:val="right"/>
            </w:pPr>
            <w:r>
              <w:rPr>
                <w:sz w:val="16"/>
              </w:rPr>
              <w:t>23,756</w:t>
            </w:r>
          </w:p>
        </w:tc>
        <w:tc>
          <w:tcPr>
            <w:tcW w:type="dxa" w:w="1403"/>
            <w:vAlign w:val="center"/>
          </w:tcPr>
          <w:p>
            <w:pPr>
              <w:spacing w:after="20" w:before="20"/>
              <w:jc w:val="right"/>
            </w:pPr>
            <w:r>
              <w:rPr>
                <w:sz w:val="16"/>
              </w:rPr>
              <w:t>3,193</w:t>
            </w:r>
          </w:p>
        </w:tc>
        <w:tc>
          <w:tcPr>
            <w:tcW w:type="dxa" w:w="1403"/>
            <w:vAlign w:val="center"/>
          </w:tcPr>
          <w:p>
            <w:pPr>
              <w:spacing w:after="20" w:before="20"/>
              <w:jc w:val="right"/>
            </w:pPr>
            <w:r>
              <w:rPr>
                <w:sz w:val="16"/>
              </w:rPr>
              <w:t>13.44</w:t>
            </w:r>
          </w:p>
        </w:tc>
        <w:tc>
          <w:tcPr>
            <w:tcW w:type="dxa" w:w="1403"/>
            <w:vAlign w:val="center"/>
          </w:tcPr>
          <w:p>
            <w:pPr>
              <w:spacing w:after="20" w:before="20"/>
              <w:jc w:val="right"/>
            </w:pPr>
            <w:r>
              <w:rPr>
                <w:sz w:val="16"/>
              </w:rPr>
              <w:t>2,560</w:t>
            </w:r>
          </w:p>
        </w:tc>
        <w:tc>
          <w:tcPr>
            <w:tcW w:type="dxa" w:w="1403"/>
            <w:vAlign w:val="center"/>
          </w:tcPr>
          <w:p>
            <w:pPr>
              <w:spacing w:after="20" w:before="20"/>
              <w:jc w:val="right"/>
            </w:pPr>
            <w:r>
              <w:rPr>
                <w:sz w:val="16"/>
              </w:rPr>
              <w:t>40.12%</w:t>
            </w:r>
          </w:p>
        </w:tc>
      </w:tr>
    </w:tbl>
    <w:p>
      <w:r>
        <w:t>Borrowing is concentrated: 6,381 customers with three or more loans hold 23,756 loans (59.39% of all loan records). A total of 2,757 customers have no loan records. Among customers with three or more loans, 40.12% have at least one recorded defaulted loan; this cross-sectional proportion is not a prediction of future default.</w:t>
      </w:r>
    </w:p>
    <w:p>
      <w:r>
        <w:t>The loan-level defaulted-record shares among customers with one, two, or three-plus loans are much closer (12.65%, 13.26%, and 13.44%). The much larger change in customer-level prevalence (12.65% to 40.12%) partly reflects more opportunities for multiple-loan customers to hold at least one defaulted loan.</w:t>
      </w:r>
    </w:p>
    <w:p>
      <w:pPr>
        <w:pStyle w:val="Heading2"/>
      </w:pPr>
      <w:r>
        <w:t>Branch-level results</w:t>
      </w:r>
    </w:p>
    <w:tbl>
      <w:tblPr>
        <w:tblStyle w:val="LightShading-Accent1"/>
        <w:tblW w:type="auto" w:w="0"/>
        <w:jc w:val="center"/>
        <w:tblLook w:firstColumn="1" w:firstRow="1" w:lastColumn="0" w:lastRow="0" w:noHBand="0" w:noVBand="1" w:val="04A0"/>
      </w:tblPr>
      <w:tblGrid>
        <w:gridCol w:w="1637"/>
        <w:gridCol w:w="1637"/>
        <w:gridCol w:w="1637"/>
        <w:gridCol w:w="1637"/>
        <w:gridCol w:w="1637"/>
        <w:gridCol w:w="1637"/>
      </w:tblGrid>
      <w:tr>
        <w:trPr>
          <w:cantSplit/>
        </w:trPr>
        <w:tc>
          <w:tcPr>
            <w:tcW w:type="dxa" w:w="1637"/>
            <w:shd w:fill="16304D"/>
            <w:vAlign w:val="center"/>
          </w:tcPr>
          <w:p>
            <w:pPr>
              <w:spacing w:after="20" w:before="20"/>
            </w:pPr>
            <w:r>
              <w:rPr>
                <w:b/>
                <w:color w:val="FFFFFF"/>
                <w:sz w:val="16"/>
              </w:rPr>
              <w:t>Branch</w:t>
            </w:r>
          </w:p>
        </w:tc>
        <w:tc>
          <w:tcPr>
            <w:tcW w:type="dxa" w:w="1637"/>
            <w:shd w:fill="16304D"/>
            <w:vAlign w:val="center"/>
          </w:tcPr>
          <w:p>
            <w:pPr>
              <w:spacing w:after="20" w:before="20"/>
              <w:jc w:val="right"/>
            </w:pPr>
            <w:r>
              <w:rPr>
                <w:b/>
                <w:color w:val="FFFFFF"/>
                <w:sz w:val="16"/>
              </w:rPr>
              <w:t>Loans</w:t>
            </w:r>
          </w:p>
        </w:tc>
        <w:tc>
          <w:tcPr>
            <w:tcW w:type="dxa" w:w="1637"/>
            <w:shd w:fill="16304D"/>
            <w:vAlign w:val="center"/>
          </w:tcPr>
          <w:p>
            <w:pPr>
              <w:spacing w:after="20" w:before="20"/>
              <w:jc w:val="right"/>
            </w:pPr>
            <w:r>
              <w:rPr>
                <w:b/>
                <w:color w:val="FFFFFF"/>
                <w:sz w:val="16"/>
              </w:rPr>
              <w:t>Defaults</w:t>
            </w:r>
          </w:p>
        </w:tc>
        <w:tc>
          <w:tcPr>
            <w:tcW w:type="dxa" w:w="1637"/>
            <w:shd w:fill="16304D"/>
            <w:vAlign w:val="center"/>
          </w:tcPr>
          <w:p>
            <w:pPr>
              <w:spacing w:after="20" w:before="20"/>
              <w:jc w:val="right"/>
            </w:pPr>
            <w:r>
              <w:rPr>
                <w:b/>
                <w:color w:val="FFFFFF"/>
                <w:sz w:val="16"/>
              </w:rPr>
              <w:t>Default %</w:t>
            </w:r>
          </w:p>
        </w:tc>
        <w:tc>
          <w:tcPr>
            <w:tcW w:type="dxa" w:w="1637"/>
            <w:shd w:fill="16304D"/>
            <w:vAlign w:val="center"/>
          </w:tcPr>
          <w:p>
            <w:pPr>
              <w:spacing w:after="20" w:before="20"/>
              <w:jc w:val="right"/>
            </w:pPr>
            <w:r>
              <w:rPr>
                <w:b/>
                <w:color w:val="FFFFFF"/>
                <w:sz w:val="16"/>
              </w:rPr>
              <w:t>Defaulted principal</w:t>
            </w:r>
          </w:p>
        </w:tc>
        <w:tc>
          <w:tcPr>
            <w:tcW w:type="dxa" w:w="1637"/>
            <w:shd w:fill="16304D"/>
            <w:vAlign w:val="center"/>
          </w:tcPr>
          <w:p>
            <w:pPr>
              <w:spacing w:after="20" w:before="20"/>
              <w:jc w:val="right"/>
            </w:pPr>
            <w:r>
              <w:rPr>
                <w:b/>
                <w:color w:val="FFFFFF"/>
                <w:sz w:val="16"/>
              </w:rPr>
              <w:t>Value share</w:t>
            </w:r>
          </w:p>
        </w:tc>
      </w:tr>
      <w:tr>
        <w:trPr>
          <w:cantSplit/>
        </w:trPr>
        <w:tc>
          <w:tcPr>
            <w:tcW w:type="dxa" w:w="1637"/>
            <w:vAlign w:val="center"/>
          </w:tcPr>
          <w:p>
            <w:pPr>
              <w:spacing w:after="20" w:before="20"/>
            </w:pPr>
            <w:r>
              <w:rPr>
                <w:sz w:val="16"/>
              </w:rPr>
              <w:t>Chingola</w:t>
            </w:r>
          </w:p>
        </w:tc>
        <w:tc>
          <w:tcPr>
            <w:tcW w:type="dxa" w:w="1637"/>
            <w:vAlign w:val="center"/>
          </w:tcPr>
          <w:p>
            <w:pPr>
              <w:spacing w:after="20" w:before="20"/>
              <w:jc w:val="right"/>
            </w:pPr>
            <w:r>
              <w:rPr>
                <w:sz w:val="16"/>
              </w:rPr>
              <w:t>5,097</w:t>
            </w:r>
          </w:p>
        </w:tc>
        <w:tc>
          <w:tcPr>
            <w:tcW w:type="dxa" w:w="1637"/>
            <w:vAlign w:val="center"/>
          </w:tcPr>
          <w:p>
            <w:pPr>
              <w:spacing w:after="20" w:before="20"/>
              <w:jc w:val="right"/>
            </w:pPr>
            <w:r>
              <w:rPr>
                <w:sz w:val="16"/>
              </w:rPr>
              <w:t>699</w:t>
            </w:r>
          </w:p>
        </w:tc>
        <w:tc>
          <w:tcPr>
            <w:tcW w:type="dxa" w:w="1637"/>
            <w:vAlign w:val="center"/>
          </w:tcPr>
          <w:p>
            <w:pPr>
              <w:spacing w:after="20" w:before="20"/>
              <w:jc w:val="right"/>
            </w:pPr>
            <w:r>
              <w:rPr>
                <w:sz w:val="16"/>
              </w:rPr>
              <w:t>13.71%</w:t>
            </w:r>
          </w:p>
        </w:tc>
        <w:tc>
          <w:tcPr>
            <w:tcW w:type="dxa" w:w="1637"/>
            <w:vAlign w:val="center"/>
          </w:tcPr>
          <w:p>
            <w:pPr>
              <w:spacing w:after="20" w:before="20"/>
              <w:jc w:val="right"/>
            </w:pPr>
            <w:r>
              <w:rPr>
                <w:sz w:val="16"/>
              </w:rPr>
              <w:t>K124.40m</w:t>
            </w:r>
          </w:p>
        </w:tc>
        <w:tc>
          <w:tcPr>
            <w:tcW w:type="dxa" w:w="1637"/>
            <w:vAlign w:val="center"/>
          </w:tcPr>
          <w:p>
            <w:pPr>
              <w:spacing w:after="20" w:before="20"/>
              <w:jc w:val="right"/>
            </w:pPr>
            <w:r>
              <w:rPr>
                <w:sz w:val="16"/>
              </w:rPr>
              <w:t>17.20%</w:t>
            </w:r>
          </w:p>
        </w:tc>
      </w:tr>
      <w:tr>
        <w:trPr>
          <w:cantSplit/>
        </w:trPr>
        <w:tc>
          <w:tcPr>
            <w:tcW w:type="dxa" w:w="1637"/>
            <w:vAlign w:val="center"/>
          </w:tcPr>
          <w:p>
            <w:pPr>
              <w:spacing w:after="20" w:before="20"/>
            </w:pPr>
            <w:r>
              <w:rPr>
                <w:sz w:val="16"/>
              </w:rPr>
              <w:t>Livingstone</w:t>
            </w:r>
          </w:p>
        </w:tc>
        <w:tc>
          <w:tcPr>
            <w:tcW w:type="dxa" w:w="1637"/>
            <w:vAlign w:val="center"/>
          </w:tcPr>
          <w:p>
            <w:pPr>
              <w:spacing w:after="20" w:before="20"/>
              <w:jc w:val="right"/>
            </w:pPr>
            <w:r>
              <w:rPr>
                <w:sz w:val="16"/>
              </w:rPr>
              <w:t>5,163</w:t>
            </w:r>
          </w:p>
        </w:tc>
        <w:tc>
          <w:tcPr>
            <w:tcW w:type="dxa" w:w="1637"/>
            <w:vAlign w:val="center"/>
          </w:tcPr>
          <w:p>
            <w:pPr>
              <w:spacing w:after="20" w:before="20"/>
              <w:jc w:val="right"/>
            </w:pPr>
            <w:r>
              <w:rPr>
                <w:sz w:val="16"/>
              </w:rPr>
              <w:t>683</w:t>
            </w:r>
          </w:p>
        </w:tc>
        <w:tc>
          <w:tcPr>
            <w:tcW w:type="dxa" w:w="1637"/>
            <w:vAlign w:val="center"/>
          </w:tcPr>
          <w:p>
            <w:pPr>
              <w:spacing w:after="20" w:before="20"/>
              <w:jc w:val="right"/>
            </w:pPr>
            <w:r>
              <w:rPr>
                <w:sz w:val="16"/>
              </w:rPr>
              <w:t>13.23%</w:t>
            </w:r>
          </w:p>
        </w:tc>
        <w:tc>
          <w:tcPr>
            <w:tcW w:type="dxa" w:w="1637"/>
            <w:vAlign w:val="center"/>
          </w:tcPr>
          <w:p>
            <w:pPr>
              <w:spacing w:after="20" w:before="20"/>
              <w:jc w:val="right"/>
            </w:pPr>
            <w:r>
              <w:rPr>
                <w:sz w:val="16"/>
              </w:rPr>
              <w:t>K117.96m</w:t>
            </w:r>
          </w:p>
        </w:tc>
        <w:tc>
          <w:tcPr>
            <w:tcW w:type="dxa" w:w="1637"/>
            <w:vAlign w:val="center"/>
          </w:tcPr>
          <w:p>
            <w:pPr>
              <w:spacing w:after="20" w:before="20"/>
              <w:jc w:val="right"/>
            </w:pPr>
            <w:r>
              <w:rPr>
                <w:sz w:val="16"/>
              </w:rPr>
              <w:t>16.10%</w:t>
            </w:r>
          </w:p>
        </w:tc>
      </w:tr>
      <w:tr>
        <w:trPr>
          <w:cantSplit/>
        </w:trPr>
        <w:tc>
          <w:tcPr>
            <w:tcW w:type="dxa" w:w="1637"/>
            <w:vAlign w:val="center"/>
          </w:tcPr>
          <w:p>
            <w:pPr>
              <w:spacing w:after="20" w:before="20"/>
            </w:pPr>
            <w:r>
              <w:rPr>
                <w:sz w:val="16"/>
              </w:rPr>
              <w:t>Ndola</w:t>
            </w:r>
          </w:p>
        </w:tc>
        <w:tc>
          <w:tcPr>
            <w:tcW w:type="dxa" w:w="1637"/>
            <w:vAlign w:val="center"/>
          </w:tcPr>
          <w:p>
            <w:pPr>
              <w:spacing w:after="20" w:before="20"/>
              <w:jc w:val="right"/>
            </w:pPr>
            <w:r>
              <w:rPr>
                <w:sz w:val="16"/>
              </w:rPr>
              <w:t>5,030</w:t>
            </w:r>
          </w:p>
        </w:tc>
        <w:tc>
          <w:tcPr>
            <w:tcW w:type="dxa" w:w="1637"/>
            <w:vAlign w:val="center"/>
          </w:tcPr>
          <w:p>
            <w:pPr>
              <w:spacing w:after="20" w:before="20"/>
              <w:jc w:val="right"/>
            </w:pPr>
            <w:r>
              <w:rPr>
                <w:sz w:val="16"/>
              </w:rPr>
              <w:t>713</w:t>
            </w:r>
          </w:p>
        </w:tc>
        <w:tc>
          <w:tcPr>
            <w:tcW w:type="dxa" w:w="1637"/>
            <w:vAlign w:val="center"/>
          </w:tcPr>
          <w:p>
            <w:pPr>
              <w:spacing w:after="20" w:before="20"/>
              <w:jc w:val="right"/>
            </w:pPr>
            <w:r>
              <w:rPr>
                <w:sz w:val="16"/>
              </w:rPr>
              <w:t>14.17%</w:t>
            </w:r>
          </w:p>
        </w:tc>
        <w:tc>
          <w:tcPr>
            <w:tcW w:type="dxa" w:w="1637"/>
            <w:vAlign w:val="center"/>
          </w:tcPr>
          <w:p>
            <w:pPr>
              <w:spacing w:after="20" w:before="20"/>
              <w:jc w:val="right"/>
            </w:pPr>
            <w:r>
              <w:rPr>
                <w:sz w:val="16"/>
              </w:rPr>
              <w:t>K117.38m</w:t>
            </w:r>
          </w:p>
        </w:tc>
        <w:tc>
          <w:tcPr>
            <w:tcW w:type="dxa" w:w="1637"/>
            <w:vAlign w:val="center"/>
          </w:tcPr>
          <w:p>
            <w:pPr>
              <w:spacing w:after="20" w:before="20"/>
              <w:jc w:val="right"/>
            </w:pPr>
            <w:r>
              <w:rPr>
                <w:sz w:val="16"/>
              </w:rPr>
              <w:t>16.42%</w:t>
            </w:r>
          </w:p>
        </w:tc>
      </w:tr>
      <w:tr>
        <w:trPr>
          <w:cantSplit/>
        </w:trPr>
        <w:tc>
          <w:tcPr>
            <w:tcW w:type="dxa" w:w="1637"/>
            <w:vAlign w:val="center"/>
          </w:tcPr>
          <w:p>
            <w:pPr>
              <w:spacing w:after="20" w:before="20"/>
            </w:pPr>
            <w:r>
              <w:rPr>
                <w:sz w:val="16"/>
              </w:rPr>
              <w:t>Lusaka Central</w:t>
            </w:r>
          </w:p>
        </w:tc>
        <w:tc>
          <w:tcPr>
            <w:tcW w:type="dxa" w:w="1637"/>
            <w:vAlign w:val="center"/>
          </w:tcPr>
          <w:p>
            <w:pPr>
              <w:spacing w:after="20" w:before="20"/>
              <w:jc w:val="right"/>
            </w:pPr>
            <w:r>
              <w:rPr>
                <w:sz w:val="16"/>
              </w:rPr>
              <w:t>5,019</w:t>
            </w:r>
          </w:p>
        </w:tc>
        <w:tc>
          <w:tcPr>
            <w:tcW w:type="dxa" w:w="1637"/>
            <w:vAlign w:val="center"/>
          </w:tcPr>
          <w:p>
            <w:pPr>
              <w:spacing w:after="20" w:before="20"/>
              <w:jc w:val="right"/>
            </w:pPr>
            <w:r>
              <w:rPr>
                <w:sz w:val="16"/>
              </w:rPr>
              <w:t>663</w:t>
            </w:r>
          </w:p>
        </w:tc>
        <w:tc>
          <w:tcPr>
            <w:tcW w:type="dxa" w:w="1637"/>
            <w:vAlign w:val="center"/>
          </w:tcPr>
          <w:p>
            <w:pPr>
              <w:spacing w:after="20" w:before="20"/>
              <w:jc w:val="right"/>
            </w:pPr>
            <w:r>
              <w:rPr>
                <w:sz w:val="16"/>
              </w:rPr>
              <w:t>13.21%</w:t>
            </w:r>
          </w:p>
        </w:tc>
        <w:tc>
          <w:tcPr>
            <w:tcW w:type="dxa" w:w="1637"/>
            <w:vAlign w:val="center"/>
          </w:tcPr>
          <w:p>
            <w:pPr>
              <w:spacing w:after="20" w:before="20"/>
              <w:jc w:val="right"/>
            </w:pPr>
            <w:r>
              <w:rPr>
                <w:sz w:val="16"/>
              </w:rPr>
              <w:t>K114.15m</w:t>
            </w:r>
          </w:p>
        </w:tc>
        <w:tc>
          <w:tcPr>
            <w:tcW w:type="dxa" w:w="1637"/>
            <w:vAlign w:val="center"/>
          </w:tcPr>
          <w:p>
            <w:pPr>
              <w:spacing w:after="20" w:before="20"/>
              <w:jc w:val="right"/>
            </w:pPr>
            <w:r>
              <w:rPr>
                <w:sz w:val="16"/>
              </w:rPr>
              <w:t>16.05%</w:t>
            </w:r>
          </w:p>
        </w:tc>
      </w:tr>
      <w:tr>
        <w:trPr>
          <w:cantSplit/>
        </w:trPr>
        <w:tc>
          <w:tcPr>
            <w:tcW w:type="dxa" w:w="1637"/>
            <w:vAlign w:val="center"/>
          </w:tcPr>
          <w:p>
            <w:pPr>
              <w:spacing w:after="20" w:before="20"/>
            </w:pPr>
            <w:r>
              <w:rPr>
                <w:sz w:val="16"/>
              </w:rPr>
              <w:t>Cairo Road</w:t>
            </w:r>
          </w:p>
        </w:tc>
        <w:tc>
          <w:tcPr>
            <w:tcW w:type="dxa" w:w="1637"/>
            <w:vAlign w:val="center"/>
          </w:tcPr>
          <w:p>
            <w:pPr>
              <w:spacing w:after="20" w:before="20"/>
              <w:jc w:val="right"/>
            </w:pPr>
            <w:r>
              <w:rPr>
                <w:sz w:val="16"/>
              </w:rPr>
              <w:t>4,903</w:t>
            </w:r>
          </w:p>
        </w:tc>
        <w:tc>
          <w:tcPr>
            <w:tcW w:type="dxa" w:w="1637"/>
            <w:vAlign w:val="center"/>
          </w:tcPr>
          <w:p>
            <w:pPr>
              <w:spacing w:after="20" w:before="20"/>
              <w:jc w:val="right"/>
            </w:pPr>
            <w:r>
              <w:rPr>
                <w:sz w:val="16"/>
              </w:rPr>
              <w:t>650</w:t>
            </w:r>
          </w:p>
        </w:tc>
        <w:tc>
          <w:tcPr>
            <w:tcW w:type="dxa" w:w="1637"/>
            <w:vAlign w:val="center"/>
          </w:tcPr>
          <w:p>
            <w:pPr>
              <w:spacing w:after="20" w:before="20"/>
              <w:jc w:val="right"/>
            </w:pPr>
            <w:r>
              <w:rPr>
                <w:sz w:val="16"/>
              </w:rPr>
              <w:t>13.26%</w:t>
            </w:r>
          </w:p>
        </w:tc>
        <w:tc>
          <w:tcPr>
            <w:tcW w:type="dxa" w:w="1637"/>
            <w:vAlign w:val="center"/>
          </w:tcPr>
          <w:p>
            <w:pPr>
              <w:spacing w:after="20" w:before="20"/>
              <w:jc w:val="right"/>
            </w:pPr>
            <w:r>
              <w:rPr>
                <w:sz w:val="16"/>
              </w:rPr>
              <w:t>K113.42m</w:t>
            </w:r>
          </w:p>
        </w:tc>
        <w:tc>
          <w:tcPr>
            <w:tcW w:type="dxa" w:w="1637"/>
            <w:vAlign w:val="center"/>
          </w:tcPr>
          <w:p>
            <w:pPr>
              <w:spacing w:after="20" w:before="20"/>
              <w:jc w:val="right"/>
            </w:pPr>
            <w:r>
              <w:rPr>
                <w:sz w:val="16"/>
              </w:rPr>
              <w:t>16.35%</w:t>
            </w:r>
          </w:p>
        </w:tc>
      </w:tr>
      <w:tr>
        <w:trPr>
          <w:cantSplit/>
        </w:trPr>
        <w:tc>
          <w:tcPr>
            <w:tcW w:type="dxa" w:w="1637"/>
            <w:vAlign w:val="center"/>
          </w:tcPr>
          <w:p>
            <w:pPr>
              <w:spacing w:after="20" w:before="20"/>
            </w:pPr>
            <w:r>
              <w:rPr>
                <w:sz w:val="16"/>
              </w:rPr>
              <w:t>Kitwe</w:t>
            </w:r>
          </w:p>
        </w:tc>
        <w:tc>
          <w:tcPr>
            <w:tcW w:type="dxa" w:w="1637"/>
            <w:vAlign w:val="center"/>
          </w:tcPr>
          <w:p>
            <w:pPr>
              <w:spacing w:after="20" w:before="20"/>
              <w:jc w:val="right"/>
            </w:pPr>
            <w:r>
              <w:rPr>
                <w:sz w:val="16"/>
              </w:rPr>
              <w:t>4,858</w:t>
            </w:r>
          </w:p>
        </w:tc>
        <w:tc>
          <w:tcPr>
            <w:tcW w:type="dxa" w:w="1637"/>
            <w:vAlign w:val="center"/>
          </w:tcPr>
          <w:p>
            <w:pPr>
              <w:spacing w:after="20" w:before="20"/>
              <w:jc w:val="right"/>
            </w:pPr>
            <w:r>
              <w:rPr>
                <w:sz w:val="16"/>
              </w:rPr>
              <w:t>645</w:t>
            </w:r>
          </w:p>
        </w:tc>
        <w:tc>
          <w:tcPr>
            <w:tcW w:type="dxa" w:w="1637"/>
            <w:vAlign w:val="center"/>
          </w:tcPr>
          <w:p>
            <w:pPr>
              <w:spacing w:after="20" w:before="20"/>
              <w:jc w:val="right"/>
            </w:pPr>
            <w:r>
              <w:rPr>
                <w:sz w:val="16"/>
              </w:rPr>
              <w:t>13.28%</w:t>
            </w:r>
          </w:p>
        </w:tc>
        <w:tc>
          <w:tcPr>
            <w:tcW w:type="dxa" w:w="1637"/>
            <w:vAlign w:val="center"/>
          </w:tcPr>
          <w:p>
            <w:pPr>
              <w:spacing w:after="20" w:before="20"/>
              <w:jc w:val="right"/>
            </w:pPr>
            <w:r>
              <w:rPr>
                <w:sz w:val="16"/>
              </w:rPr>
              <w:t>K112.49m</w:t>
            </w:r>
          </w:p>
        </w:tc>
        <w:tc>
          <w:tcPr>
            <w:tcW w:type="dxa" w:w="1637"/>
            <w:vAlign w:val="center"/>
          </w:tcPr>
          <w:p>
            <w:pPr>
              <w:spacing w:after="20" w:before="20"/>
              <w:jc w:val="right"/>
            </w:pPr>
            <w:r>
              <w:rPr>
                <w:sz w:val="16"/>
              </w:rPr>
              <w:t>16.11%</w:t>
            </w:r>
          </w:p>
        </w:tc>
      </w:tr>
      <w:tr>
        <w:trPr>
          <w:cantSplit/>
        </w:trPr>
        <w:tc>
          <w:tcPr>
            <w:tcW w:type="dxa" w:w="1637"/>
            <w:vAlign w:val="center"/>
          </w:tcPr>
          <w:p>
            <w:pPr>
              <w:spacing w:after="20" w:before="20"/>
            </w:pPr>
            <w:r>
              <w:rPr>
                <w:sz w:val="16"/>
              </w:rPr>
              <w:t>Kafue</w:t>
            </w:r>
          </w:p>
        </w:tc>
        <w:tc>
          <w:tcPr>
            <w:tcW w:type="dxa" w:w="1637"/>
            <w:vAlign w:val="center"/>
          </w:tcPr>
          <w:p>
            <w:pPr>
              <w:spacing w:after="20" w:before="20"/>
              <w:jc w:val="right"/>
            </w:pPr>
            <w:r>
              <w:rPr>
                <w:sz w:val="16"/>
              </w:rPr>
              <w:t>4,990</w:t>
            </w:r>
          </w:p>
        </w:tc>
        <w:tc>
          <w:tcPr>
            <w:tcW w:type="dxa" w:w="1637"/>
            <w:vAlign w:val="center"/>
          </w:tcPr>
          <w:p>
            <w:pPr>
              <w:spacing w:after="20" w:before="20"/>
              <w:jc w:val="right"/>
            </w:pPr>
            <w:r>
              <w:rPr>
                <w:sz w:val="16"/>
              </w:rPr>
              <w:t>633</w:t>
            </w:r>
          </w:p>
        </w:tc>
        <w:tc>
          <w:tcPr>
            <w:tcW w:type="dxa" w:w="1637"/>
            <w:vAlign w:val="center"/>
          </w:tcPr>
          <w:p>
            <w:pPr>
              <w:spacing w:after="20" w:before="20"/>
              <w:jc w:val="right"/>
            </w:pPr>
            <w:r>
              <w:rPr>
                <w:sz w:val="16"/>
              </w:rPr>
              <w:t>12.69%</w:t>
            </w:r>
          </w:p>
        </w:tc>
        <w:tc>
          <w:tcPr>
            <w:tcW w:type="dxa" w:w="1637"/>
            <w:vAlign w:val="center"/>
          </w:tcPr>
          <w:p>
            <w:pPr>
              <w:spacing w:after="20" w:before="20"/>
              <w:jc w:val="right"/>
            </w:pPr>
            <w:r>
              <w:rPr>
                <w:sz w:val="16"/>
              </w:rPr>
              <w:t>K111.23m</w:t>
            </w:r>
          </w:p>
        </w:tc>
        <w:tc>
          <w:tcPr>
            <w:tcW w:type="dxa" w:w="1637"/>
            <w:vAlign w:val="center"/>
          </w:tcPr>
          <w:p>
            <w:pPr>
              <w:spacing w:after="20" w:before="20"/>
              <w:jc w:val="right"/>
            </w:pPr>
            <w:r>
              <w:rPr>
                <w:sz w:val="16"/>
              </w:rPr>
              <w:t>15.98%</w:t>
            </w:r>
          </w:p>
        </w:tc>
      </w:tr>
      <w:tr>
        <w:trPr>
          <w:cantSplit/>
        </w:trPr>
        <w:tc>
          <w:tcPr>
            <w:tcW w:type="dxa" w:w="1637"/>
            <w:vAlign w:val="center"/>
          </w:tcPr>
          <w:p>
            <w:pPr>
              <w:spacing w:after="20" w:before="20"/>
            </w:pPr>
            <w:r>
              <w:rPr>
                <w:sz w:val="16"/>
              </w:rPr>
              <w:t>Kabwe</w:t>
            </w:r>
          </w:p>
        </w:tc>
        <w:tc>
          <w:tcPr>
            <w:tcW w:type="dxa" w:w="1637"/>
            <w:vAlign w:val="center"/>
          </w:tcPr>
          <w:p>
            <w:pPr>
              <w:spacing w:after="20" w:before="20"/>
              <w:jc w:val="right"/>
            </w:pPr>
            <w:r>
              <w:rPr>
                <w:sz w:val="16"/>
              </w:rPr>
              <w:t>4,940</w:t>
            </w:r>
          </w:p>
        </w:tc>
        <w:tc>
          <w:tcPr>
            <w:tcW w:type="dxa" w:w="1637"/>
            <w:vAlign w:val="center"/>
          </w:tcPr>
          <w:p>
            <w:pPr>
              <w:spacing w:after="20" w:before="20"/>
              <w:jc w:val="right"/>
            </w:pPr>
            <w:r>
              <w:rPr>
                <w:sz w:val="16"/>
              </w:rPr>
              <w:t>627</w:t>
            </w:r>
          </w:p>
        </w:tc>
        <w:tc>
          <w:tcPr>
            <w:tcW w:type="dxa" w:w="1637"/>
            <w:vAlign w:val="center"/>
          </w:tcPr>
          <w:p>
            <w:pPr>
              <w:spacing w:after="20" w:before="20"/>
              <w:jc w:val="right"/>
            </w:pPr>
            <w:r>
              <w:rPr>
                <w:sz w:val="16"/>
              </w:rPr>
              <w:t>12.69%</w:t>
            </w:r>
          </w:p>
        </w:tc>
        <w:tc>
          <w:tcPr>
            <w:tcW w:type="dxa" w:w="1637"/>
            <w:vAlign w:val="center"/>
          </w:tcPr>
          <w:p>
            <w:pPr>
              <w:spacing w:after="20" w:before="20"/>
              <w:jc w:val="right"/>
            </w:pPr>
            <w:r>
              <w:rPr>
                <w:sz w:val="16"/>
              </w:rPr>
              <w:t>K106.80m</w:t>
            </w:r>
          </w:p>
        </w:tc>
        <w:tc>
          <w:tcPr>
            <w:tcW w:type="dxa" w:w="1637"/>
            <w:vAlign w:val="center"/>
          </w:tcPr>
          <w:p>
            <w:pPr>
              <w:spacing w:after="20" w:before="20"/>
              <w:jc w:val="right"/>
            </w:pPr>
            <w:r>
              <w:rPr>
                <w:sz w:val="16"/>
              </w:rPr>
              <w:t>15.20%</w:t>
            </w:r>
          </w:p>
        </w:tc>
      </w:tr>
    </w:tbl>
    <w:p>
      <w:r>
        <w:t>Branch priorities: Chingola has the largest recorded defaulted principal (K124.40m, or 17.20% of its recorded original principal), whereas Ndola has the highest default count and defaulted-record percentage (713; 14.17%). These different rankings call for both count-based and value-based monitoring.</w:t>
      </w:r>
    </w:p>
    <w:p>
      <w:r>
        <w:br w:type="page"/>
      </w:r>
    </w:p>
    <w:p>
      <w:pPr>
        <w:pStyle w:val="Heading1"/>
      </w:pPr>
      <w:r>
        <w:t>4. Data quality assurance — Task 16</w:t>
      </w:r>
    </w:p>
    <w:p>
      <w:r>
        <w:t>The user executed Tasks 16A–16E on the local PostgreSQL database and supplied the resulting outputs. This report records the checks performed and their observed results.</w:t>
      </w:r>
    </w:p>
    <w:tbl>
      <w:tblPr>
        <w:tblStyle w:val="LightShading-Accent1"/>
        <w:tblW w:type="auto" w:w="0"/>
        <w:jc w:val="center"/>
        <w:tblLook w:firstColumn="1" w:firstRow="1" w:lastColumn="0" w:lastRow="0" w:noHBand="0" w:noVBand="1" w:val="04A0"/>
      </w:tblPr>
      <w:tblGrid>
        <w:gridCol w:w="3273"/>
        <w:gridCol w:w="3273"/>
        <w:gridCol w:w="3273"/>
      </w:tblGrid>
      <w:tr>
        <w:trPr>
          <w:cantSplit/>
        </w:trPr>
        <w:tc>
          <w:tcPr>
            <w:tcW w:type="dxa" w:w="3273"/>
            <w:shd w:fill="16304D"/>
            <w:vAlign w:val="center"/>
          </w:tcPr>
          <w:p>
            <w:pPr>
              <w:spacing w:after="20" w:before="20"/>
            </w:pPr>
            <w:r>
              <w:rPr>
                <w:b/>
                <w:color w:val="FFFFFF"/>
                <w:sz w:val="16"/>
              </w:rPr>
              <w:t>Validation area</w:t>
            </w:r>
          </w:p>
        </w:tc>
        <w:tc>
          <w:tcPr>
            <w:tcW w:type="dxa" w:w="3273"/>
            <w:shd w:fill="16304D"/>
            <w:vAlign w:val="center"/>
          </w:tcPr>
          <w:p>
            <w:pPr>
              <w:spacing w:after="20" w:before="20"/>
              <w:jc w:val="right"/>
            </w:pPr>
            <w:r>
              <w:rPr>
                <w:b/>
                <w:color w:val="FFFFFF"/>
                <w:sz w:val="16"/>
              </w:rPr>
              <w:t>Observed result</w:t>
            </w:r>
          </w:p>
        </w:tc>
        <w:tc>
          <w:tcPr>
            <w:tcW w:type="dxa" w:w="3273"/>
            <w:shd w:fill="16304D"/>
            <w:vAlign w:val="center"/>
          </w:tcPr>
          <w:p>
            <w:pPr>
              <w:spacing w:after="20" w:before="20"/>
              <w:jc w:val="right"/>
            </w:pPr>
            <w:r>
              <w:rPr>
                <w:b/>
                <w:color w:val="FFFFFF"/>
                <w:sz w:val="16"/>
              </w:rPr>
              <w:t>Assessment</w:t>
            </w:r>
          </w:p>
        </w:tc>
      </w:tr>
      <w:tr>
        <w:trPr>
          <w:cantSplit/>
        </w:trPr>
        <w:tc>
          <w:tcPr>
            <w:tcW w:type="dxa" w:w="3273"/>
            <w:vAlign w:val="center"/>
          </w:tcPr>
          <w:p>
            <w:pPr>
              <w:spacing w:after="20" w:before="20"/>
            </w:pPr>
            <w:r>
              <w:rPr>
                <w:sz w:val="16"/>
              </w:rPr>
              <w:t>16A · Duplicate loan IDs</w:t>
            </w:r>
          </w:p>
        </w:tc>
        <w:tc>
          <w:tcPr>
            <w:tcW w:type="dxa" w:w="3273"/>
            <w:vAlign w:val="center"/>
          </w:tcPr>
          <w:p>
            <w:pPr>
              <w:spacing w:after="20" w:before="20"/>
              <w:jc w:val="right"/>
            </w:pPr>
            <w:r>
              <w:rPr>
                <w:sz w:val="16"/>
              </w:rPr>
              <w:t>Zero rows returned</w:t>
            </w:r>
          </w:p>
        </w:tc>
        <w:tc>
          <w:tcPr>
            <w:tcW w:type="dxa" w:w="3273"/>
            <w:vAlign w:val="center"/>
          </w:tcPr>
          <w:p>
            <w:pPr>
              <w:spacing w:after="20" w:before="20"/>
              <w:jc w:val="right"/>
            </w:pPr>
            <w:r>
              <w:rPr>
                <w:sz w:val="16"/>
              </w:rPr>
              <w:t>PASS</w:t>
            </w:r>
          </w:p>
        </w:tc>
      </w:tr>
      <w:tr>
        <w:trPr>
          <w:cantSplit/>
        </w:trPr>
        <w:tc>
          <w:tcPr>
            <w:tcW w:type="dxa" w:w="3273"/>
            <w:vAlign w:val="center"/>
          </w:tcPr>
          <w:p>
            <w:pPr>
              <w:spacing w:after="20" w:before="20"/>
            </w:pPr>
            <w:r>
              <w:rPr>
                <w:sz w:val="16"/>
              </w:rPr>
              <w:t>16B · Orphan loan references</w:t>
            </w:r>
          </w:p>
        </w:tc>
        <w:tc>
          <w:tcPr>
            <w:tcW w:type="dxa" w:w="3273"/>
            <w:vAlign w:val="center"/>
          </w:tcPr>
          <w:p>
            <w:pPr>
              <w:spacing w:after="20" w:before="20"/>
              <w:jc w:val="right"/>
            </w:pPr>
            <w:r>
              <w:rPr>
                <w:sz w:val="16"/>
              </w:rPr>
              <w:t>Zero rows returned</w:t>
            </w:r>
          </w:p>
        </w:tc>
        <w:tc>
          <w:tcPr>
            <w:tcW w:type="dxa" w:w="3273"/>
            <w:vAlign w:val="center"/>
          </w:tcPr>
          <w:p>
            <w:pPr>
              <w:spacing w:after="20" w:before="20"/>
              <w:jc w:val="right"/>
            </w:pPr>
            <w:r>
              <w:rPr>
                <w:sz w:val="16"/>
              </w:rPr>
              <w:t>PASS</w:t>
            </w:r>
          </w:p>
        </w:tc>
      </w:tr>
      <w:tr>
        <w:trPr>
          <w:cantSplit/>
        </w:trPr>
        <w:tc>
          <w:tcPr>
            <w:tcW w:type="dxa" w:w="3273"/>
            <w:vAlign w:val="center"/>
          </w:tcPr>
          <w:p>
            <w:pPr>
              <w:spacing w:after="20" w:before="20"/>
            </w:pPr>
            <w:r>
              <w:rPr>
                <w:sz w:val="16"/>
              </w:rPr>
              <w:t>16C · Nulls, invalid amounts/statuses/rates/IDs</w:t>
            </w:r>
          </w:p>
        </w:tc>
        <w:tc>
          <w:tcPr>
            <w:tcW w:type="dxa" w:w="3273"/>
            <w:vAlign w:val="center"/>
          </w:tcPr>
          <w:p>
            <w:pPr>
              <w:spacing w:after="20" w:before="20"/>
              <w:jc w:val="right"/>
            </w:pPr>
            <w:r>
              <w:rPr>
                <w:sz w:val="16"/>
              </w:rPr>
              <w:t>40,000 assessed; six invalid-condition counts = 0</w:t>
            </w:r>
          </w:p>
        </w:tc>
        <w:tc>
          <w:tcPr>
            <w:tcW w:type="dxa" w:w="3273"/>
            <w:vAlign w:val="center"/>
          </w:tcPr>
          <w:p>
            <w:pPr>
              <w:spacing w:after="20" w:before="20"/>
              <w:jc w:val="right"/>
            </w:pPr>
            <w:r>
              <w:rPr>
                <w:sz w:val="16"/>
              </w:rPr>
              <w:t>PASS</w:t>
            </w:r>
          </w:p>
        </w:tc>
      </w:tr>
      <w:tr>
        <w:trPr>
          <w:cantSplit/>
        </w:trPr>
        <w:tc>
          <w:tcPr>
            <w:tcW w:type="dxa" w:w="3273"/>
            <w:vAlign w:val="center"/>
          </w:tcPr>
          <w:p>
            <w:pPr>
              <w:spacing w:after="20" w:before="20"/>
            </w:pPr>
            <w:r>
              <w:rPr>
                <w:sz w:val="16"/>
              </w:rPr>
              <w:t>16D · Count and principal reconciliation</w:t>
            </w:r>
          </w:p>
        </w:tc>
        <w:tc>
          <w:tcPr>
            <w:tcW w:type="dxa" w:w="3273"/>
            <w:vAlign w:val="center"/>
          </w:tcPr>
          <w:p>
            <w:pPr>
              <w:spacing w:after="20" w:before="20"/>
              <w:jc w:val="right"/>
            </w:pPr>
            <w:r>
              <w:rPr>
                <w:sz w:val="16"/>
              </w:rPr>
              <w:t>40,000, K5,672,889,156.80, 5,313 and K917,841,641.54 all match; totals_reconcile = true</w:t>
            </w:r>
          </w:p>
        </w:tc>
        <w:tc>
          <w:tcPr>
            <w:tcW w:type="dxa" w:w="3273"/>
            <w:vAlign w:val="center"/>
          </w:tcPr>
          <w:p>
            <w:pPr>
              <w:spacing w:after="20" w:before="20"/>
              <w:jc w:val="right"/>
            </w:pPr>
            <w:r>
              <w:rPr>
                <w:sz w:val="16"/>
              </w:rPr>
              <w:t>PASS</w:t>
            </w:r>
          </w:p>
        </w:tc>
      </w:tr>
      <w:tr>
        <w:trPr>
          <w:cantSplit/>
        </w:trPr>
        <w:tc>
          <w:tcPr>
            <w:tcW w:type="dxa" w:w="3273"/>
            <w:vAlign w:val="center"/>
          </w:tcPr>
          <w:p>
            <w:pPr>
              <w:spacing w:after="20" w:before="20"/>
            </w:pPr>
            <w:r>
              <w:rPr>
                <w:sz w:val="16"/>
              </w:rPr>
              <w:t>16E · Seven database assertions</w:t>
            </w:r>
          </w:p>
        </w:tc>
        <w:tc>
          <w:tcPr>
            <w:tcW w:type="dxa" w:w="3273"/>
            <w:vAlign w:val="center"/>
          </w:tcPr>
          <w:p>
            <w:pPr>
              <w:spacing w:after="20" w:before="20"/>
              <w:jc w:val="right"/>
            </w:pPr>
            <w:r>
              <w:rPr>
                <w:sz w:val="16"/>
              </w:rPr>
              <w:t>All seven return PASS</w:t>
            </w:r>
          </w:p>
        </w:tc>
        <w:tc>
          <w:tcPr>
            <w:tcW w:type="dxa" w:w="3273"/>
            <w:vAlign w:val="center"/>
          </w:tcPr>
          <w:p>
            <w:pPr>
              <w:spacing w:after="20" w:before="20"/>
              <w:jc w:val="right"/>
            </w:pPr>
            <w:r>
              <w:rPr>
                <w:sz w:val="16"/>
              </w:rPr>
              <w:t>PASS</w:t>
            </w:r>
          </w:p>
        </w:tc>
      </w:tr>
    </w:tbl>
    <w:p>
      <w:r>
        <w:t>The seven assertions covered complete customer-and-branch joins, expected row counts (8 branches, 20,000 customers, 40,000 loans), defaulted record count (5,313), and reconciliation of both total and defaulted original principal.</w:t>
      </w:r>
    </w:p>
    <w:p>
      <w:r>
        <w:t>Quality conclusion: The checked structural, missing-value and aggregate controls pass. This is not evidence that every underlying value is economically realistic, that customer identity is verified, or that the synthetic loan portfolio is representative of actual Zambian bank lending.</w:t>
      </w:r>
    </w:p>
    <w:p>
      <w:pPr>
        <w:pStyle w:val="Heading1"/>
      </w:pPr>
      <w:r>
        <w:t>5. Management implications and conclusion</w:t>
      </w:r>
    </w:p>
    <w:p>
      <w:r>
        <w:t>1. Prioritise further review of large loans and low-income segments, where snapshot default shares are most pronounced. Evaluate loan age, disbursement cohorts, affordability, loan purpose and borrower characteristics before recommending changes to underwriting.</w:t>
      </w:r>
    </w:p>
    <w:p>
      <w:r>
        <w:t>2. Monitor branch risk using both default counts and original-principal exposure shares. Chingola and Ndola emerge as distinct investigation priorities for value-based and frequency-based monitoring, respectively.</w:t>
      </w:r>
    </w:p>
    <w:p>
      <w:r>
        <w:t>3. Avoid equating original principal of defaulted loans with losses. Any usable regulatory non-performing-loan, expected credit loss, or outstanding-risk estimate requires balances, repayment histories, days past due, recoveries, collateral, and an appropriate reporting cutoff.</w:t>
      </w:r>
    </w:p>
    <w:p>
      <w:r>
        <w:t>4. Treat interest-rate and product comparisons cautiously. The small unadjusted differences are not compelling causal evidence. In a real bank, cohort and multivariable analysis would be needed to assess independent associations.</w:t>
      </w:r>
    </w:p>
    <w:p>
      <w:pPr>
        <w:pStyle w:val="Heading2"/>
      </w:pPr>
      <w:r>
        <w:t>Final conclusion</w:t>
      </w:r>
    </w:p>
    <w:p>
      <w:r>
        <w:t>The completed capstone demonstrates a coherent SQL workflow: relational joins, CTEs, conditional aggregation, segmentation, count-based and value-based performance metrics, borrowing-frequency analysis, and structured validation. All supplied verification outputs are internally consistent. As a portfolio project, it is suitable for demonstrating SQL and financial analysis skills when clearly labelled as synthetic; it should not be presented as a real bank credit-risk assessment.</w:t>
      </w:r>
    </w:p>
    <w:p>
      <w:pPr>
        <w:pStyle w:val="Heading2"/>
      </w:pPr>
      <w:r>
        <w:t>Methodology and reproduction notes</w:t>
      </w:r>
    </w:p>
    <w:p>
      <w:r>
        <w:t>All figures in this report come from the user’s recorded outputs for Tasks 9–16 and earlier portfolio overview queries. Table names: banking_capstone.bank_loans, bank_customers, and bank_branches. The companion project package contains the executable SQL for Tasks 12–17. The original database generator uses random sampling; rebuilding it from scratch can change numeric outputs. Preserve a reproducible snapshot before final GitHub publication.</w:t>
      </w:r>
    </w:p>
    <w:sectPr w:rsidR="00FC693F" w:rsidRPr="0006063C" w:rsidSect="00034616">
      <w:headerReference w:type="default" r:id="rId9"/>
      <w:footerReference w:type="default" r:id="rId10"/>
      <w:pgSz w:w="12240" w:h="15840"/>
      <w:pgMar w:top="1080" w:right="1210" w:bottom="1037"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777"/>
        <w:sz w:val="16"/>
      </w:rPr>
      <w:t xml:space="preserve">Synthetic educational portfolio  •  Snapshot 25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86777"/>
        <w:sz w:val="15"/>
      </w:rPr>
      <w:t>BANKING CAPSTONE  |  MANAGEMENT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162D4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62D48"/>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62D4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62D4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Loan Portfolio and Credit Risk Analysis — Verified Final Management Report</dc:title>
  <dc:subject>SQL capstone task 17</dc:subject>
  <dc:creator>Data Analysis Portfolio</dc:creator>
  <cp:keywords/>
  <dc:description>generated by python-docx</dc:description>
  <cp:lastModifiedBy/>
  <cp:revision>1</cp:revision>
  <dcterms:created xsi:type="dcterms:W3CDTF">2013-12-23T23:15:00Z</dcterms:created>
  <dcterms:modified xsi:type="dcterms:W3CDTF">2013-12-23T23:15:00Z</dcterms:modified>
  <cp:category/>
</cp:coreProperties>
</file>