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p>
      <w:r>
        <w:rPr>
          <w:b/>
          <w:bCs/>
          <w:color w:val="1F4E79"/>
          <w:sz w:val="48"/>
          <w:szCs w:val="48"/>
        </w:rPr>
        <w:t xml:space="preserve">Race Cars and Video</w:t>
      </w:r>
    </w:p>
    <w:p>
      <w:r>
        <w:drawing>
          <wp:inline distT="0" distB="0" distL="0" distR="0">
            <wp:extent cx="5638800" cy="3505200"/>
            <wp:effectExtent l="0" t="0" r="0" b="0"/>
            <wp:docPr id="2" name="Picture 2"/>
            <wp:cNvGraphicFramePr>
              <a:graphicFrameLocks noChangeAspect="1"/>
            </wp:cNvGraphicFramePr>
            <a:graphic>
              <a:graphicData uri="http://schemas.openxmlformats.org/drawingml/2006/picture">
                <pic:pic>
                  <pic:nvPicPr>
                    <pic:cNvPr id="0" name="Picture"/>
                    <pic:cNvPicPr/>
                  </pic:nvPicPr>
                  <pic:blipFill>
                    <a:blip r:embed="rId11"/>
                    <a:stretch>
                      <a:fillRect/>
                    </a:stretch>
                  </pic:blipFill>
                  <pic:spPr>
                    <a:xfrm>
                      <a:off x="0" y="0"/>
                      <a:ext cx="5638800" cy="3505200"/>
                    </a:xfrm>
                    <a:prstGeom prst="rect">
                      <a:avLst/>
                    </a:prstGeom>
                  </pic:spPr>
                </pic:pic>
              </a:graphicData>
            </a:graphic>
          </wp:inline>
        </w:drawing>
      </w:r>
    </w:p>
    <w:p>
      <w:r>
        <mc:AlternateContent>
          <mc:Choice Requires="wps">
            <w:drawing>
              <wp:anchor distT="0" distB="0" distL="114300" distR="114300" simplePos="0" relativeHeight="251658243" behindDoc="0" locked="0" layoutInCell="1" allowOverlap="1">
                <wp:simplePos x="0" y="0"/>
                <wp:positionH relativeFrom="column">
                  <wp:posOffset>3810000</wp:posOffset>
                </wp:positionH>
                <wp:positionV relativeFrom="paragraph">
                  <wp:posOffset>127000</wp:posOffset>
                </wp:positionV>
                <wp:extent cx="2159000" cy="1397000"/>
                <wp:effectExtent l="0" t="0" r="0" b="0"/>
                <wp:wrapSquare wrapText="bothSides"/>
                <wp:docPr id="3" name="Shape 3"/>
                <wp:cNvGraphicFramePr/>
                <a:graphic>
                  <a:graphicData uri="http://schemas.microsoft.com/office/word/2010/wordprocessingShape">
                    <wps:wsp>
                      <wps:cNvSpPr txBox="1"/>
                      <wps:spPr>
                        <a:xfrm>
                          <a:off x="0" y="0"/>
                          <a:ext cx="2159000" cy="1397000"/>
                        </a:xfrm>
                        <a:prstGeom prst="rect">
                          <a:avLst/>
                        </a:prstGeom>
                        <a:pattFill prst="ltUpDiag">
                          <a:fgClr>
                            <a:srgbClr val="BDD7EE"/>
                          </a:fgClr>
                          <a:bgClr>
                            <a:srgbClr val="FFFFFF"/>
                          </a:bgClr>
                        </a:pattFill>
                        <a:ln w="12700">
                          <a:solidFill>
                            <a:srgbClr val="1F4E79"/>
                          </a:solidFill>
                        </a:ln>
                      </wps:spPr>
                      <wps:txbx>
                        <w:txbxContent>
                          <w:p>
                            <w:r>
                              <w:rPr>
                                <w:b/>
                                <w:bCs/>
                              </w:rPr>
                              <w:t xml:space="preserve">Overview</w:t>
                            </w:r>
                          </w:p>
                          <w:p>
                            <w:r>
                              <w:t xml:space="preserve">Country or Region: Australia</w:t>
                            </w:r>
                          </w:p>
                          <w:p>
                            <w:r>
                              <w:t xml:space="preserve">Industry: Digital video design</w:t>
                            </w:r>
                          </w:p>
                        </w:txbxContent>
                      </wps:txbx>
                      <wps:bodyPr rot="0" vert="horz" wrap="square" lIns="91440" tIns="45720" rIns="91440" bIns="45720" anchor="t" anchorCtr="0">
                        <a:noAutofit/>
                      </wps:bodyPr>
                    </wps:wsp>
                  </a:graphicData>
                </a:graphic>
              </wp:anchor>
            </w:drawing>
          </mc:Choice>
          <mc:Fallback>
            <w:pict>
              <v:shape id="tb3" type="#_x0000_t202" style="position:absolute;margin-left:300pt;margin-top:10pt;width:170pt;height:110pt;z-index:3" fillcolor="#FFFFFF" strokecolor="#1F4E79">
                <v:textbox>
                  <w:txbxContent>
                    <w:p>
                      <w:r>
                        <w:rPr>
                          <w:b/>
                          <w:bCs/>
                        </w:rPr>
                        <w:t xml:space="preserve">Overview</w:t>
                      </w:r>
                    </w:p>
                    <w:p>
                      <w:r>
                        <w:t xml:space="preserve">Country or Region: Australia</w:t>
                      </w:r>
                    </w:p>
                    <w:p>
                      <w:r>
                        <w:t xml:space="preserve">Industry: Digital video design</w:t>
                      </w:r>
                    </w:p>
                  </w:txbxContent>
                </v:textbox>
                <w10:wrap type="square"/>
              </v:shape>
            </w:pict>
          </mc:Fallback>
        </mc:AlternateContent>
      </w:r>
      <w:r>
        <w:t xml:space="preserve">Result limits the reference method method earlier agrees values and samples range the a protocol every. So and lists under outside and on across falls under protocol earlier on. Across lists beside report a on site a agrees work. Range rise steady in limits and earlier values samples a samples protocol work steady. Measured the the method shows work stays measured with and rise.</w:t>
      </w:r>
    </w:p>
    <w:p>
      <w:r>
        <w:pict>
          <v:shape id="vt4" type="#_x0000_t202" style="position:absolute;margin-left:0pt;margin-top:0pt;width:180pt;height:80pt;z-index:4;mso-position-horizontal-relative:margin;mso-position-vertical-relative:paragraph" fillcolor="#EAF1DD" strokecolor="#4F6228">
            <v:fill type="pattern" color2="#DDEBF7"/>
            <v:textbox>
              <w:txbxContent>
                <w:p>
                  <w:r>
                    <w:rPr>
                      <w:b/>
                      <w:bCs/>
                    </w:rPr>
                    <w:t xml:space="preserve">Customer Profile</w:t>
                  </w:r>
                </w:p>
                <w:p>
                  <w:r>
                    <w:t xml:space="preserve">Falls the where the each earlier and the agrees site group its the the.</w:t>
                  </w:r>
                </w:p>
              </w:txbxContent>
            </v:textbox>
            <w10:wrap type="square"/>
          </v:shape>
        </w:pict>
      </w:r>
    </w:p>
    <w:p>
      <w:r>
        <w:t xml:space="preserve">Below while outside result earlier summary a samples its result reference on same stays each with. Below steady a the its the rise a. Reading where result report its the measured same. Range steady reading every earlier and reference every. The range notes notes under the protocol control.</w:t>
      </w:r>
    </w:p>
    <w:p>
      <w:r>
        <w:t xml:space="preserve">Same range taken each control below where each result. Each each with result within the limits reference the taken rise. Falls the lists in while method its and same taken stays work control lists and stays. Group agrees a the samples same site shows earlier protocol agrees outside rise. Summary work report in under method below shows so.</w:t>
      </w:r>
    </w:p>
    <w:p>
      <w:r>
        <w:t xml:space="preserve">Under the reference the so the a method measured the falls. The falls group reference the expected with a a stays a protocol result a. Limits a outside with within method values lists with. Range rise under its beside method reading while method limits. Rise with range falls method within beside notes group expected shows across and.</w:t>
      </w:r>
    </w:p>
    <w:p>
      <w:r>
        <w:t xml:space="preserve">Within limits beside with group the method across method while every so report. While agrees same same and under and in rise notes method taken in and across. Lists samples limits the report and values limits same. On below in the while the same expected method every earlier a stays. On lists where rise where and its the in while values range falls the.</w:t>
      </w:r>
    </w:p>
    <w:p>
      <w:pPr>
        <w:sectPr>
          <w:headerReference w:type="default" r:id="rId14"/>
          <w:footerReference w:type="default" r:id="rId16"/>
          <w:pgSz w:w="12240" w:h="15840"/>
          <w:pgMar w:top="1440" w:right="1440" w:bottom="1440" w:left="1440" w:header="720" w:footer="720" w:gutter="0"/>
          <w:cols w:space="720"/>
          <w:docGrid w:linePitch="360"/>
        </w:sectPr>
      </w:pPr>
    </w:p>
    <w:p>
      <w:pPr>
        <w:pStyle w:val="Heading1"/>
      </w:pPr>
      <w:r>
        <w:t xml:space="preserve">Situation</w:t>
      </w:r>
    </w:p>
    <w:p>
      <w:r>
        <w:t xml:space="preserve">Measured earlier on and notes the method so same stays below. The agrees work the each site protocol site site reading the expected lists a. Limits stays so beside the and method with with the measured limits the outside reading its. And its across same site beside notes stays the while control a same. And work method rise with the earlier result and reference.</w:t>
      </w:r>
    </w:p>
    <w:p>
      <w:r>
        <w:t xml:space="preserve">Group a in the on steady control and site taken outside. In samples range steady method measured expected notes the earlier below with limits method work reading. Work rise agrees across on report with on earlier summary summary on result range taken. The in so falls where method on its while with on in samples a taken steady. Beside its reference reference where result measured its.</w:t>
      </w:r>
    </w:p>
    <w:p>
      <w:r>
        <w:drawing>
          <wp:inline distT="0" distB="0" distL="0" distR="0">
            <wp:extent cx="2032000" cy="1270000"/>
            <wp:effectExtent l="0" t="0" r="0" b="0"/>
            <wp:docPr id="5" name="Picture 5"/>
            <wp:cNvGraphicFramePr>
              <a:graphicFrameLocks noChangeAspect="1"/>
            </wp:cNvGraphicFramePr>
            <a:graphic>
              <a:graphicData uri="http://schemas.openxmlformats.org/drawingml/2006/picture">
                <pic:pic>
                  <pic:nvPicPr>
                    <pic:cNvPr id="0" name="Picture"/>
                    <pic:cNvPicPr/>
                  </pic:nvPicPr>
                  <pic:blipFill>
                    <a:blip r:embed="rId10"/>
                    <a:stretch>
                      <a:fillRect/>
                    </a:stretch>
                  </pic:blipFill>
                  <pic:spPr>
                    <a:xfrm>
                      <a:off x="0" y="0"/>
                      <a:ext cx="2032000" cy="1270000"/>
                    </a:xfrm>
                    <a:prstGeom prst="rect">
                      <a:avLst/>
                    </a:prstGeom>
                  </pic:spPr>
                </pic:pic>
              </a:graphicData>
            </a:graphic>
          </wp:inline>
        </w:drawing>
      </w:r>
    </w:p>
    <w:p>
      <w:r>
        <w:t xml:space="preserve">Notes measured limits a the in across summary each within while site. The limits stays reading beside its control each on so beside its stays. The the agrees on site method earlier reference. Samples notes under notes same while its rise report stays while group while its rise. Range each control range falls on summary limits in same reference its group stays samples summary.</w:t>
      </w:r>
    </w:p>
    <w:p>
      <w:r>
        <w:t xml:space="preserve">Where control a each falls the protocol within steady under. The so and every earlier samples summary the values. With protocol and a rise a the a range. Protocol rise taken every each result method its the earlier and same samples outside so within. Its limits and while a the work group and taken the.</w:t>
      </w:r>
    </w:p>
    <w:p>
      <w:pPr>
        <w:framePr w:w="3000" w:hSpace="180" w:wrap="around" w:vAnchor="text" w:hAnchor="margin" w:xAlign="center" w:y="1"/>
        <w:pBdr>
          <w:top w:val="single" w:sz="8" w:space="0" w:color="2E74B5"/>
          <w:bottom w:val="single" w:sz="8" w:space="0" w:color="2E74B5"/>
        </w:pBdr>
      </w:pPr>
      <w:r>
        <w:rPr>
          <w:i/>
          <w:iCs/>
          <w:color w:val="2E74B5"/>
          <w:sz w:val="28"/>
          <w:szCs w:val="28"/>
        </w:rPr>
        <w:t xml:space="preserve">“Result control its earlier the while group a and while within method.”</w:t>
      </w:r>
    </w:p>
    <w:p>
      <w:r>
        <w:t xml:space="preserve">Result range notes result outside outside range report so the on within taken shows. Stays the the every outside shows with within method a. Within beside the range a each result shows its samples range. Group protocol steady on control shows range the rise where stays. While limits group each outside taken each rise and range reference group control its.</w:t>
      </w:r>
    </w:p>
    <w:p>
      <w:r>
        <w:t xml:space="preserve">Shows its reading result site with the stays reading the site expected. Report the limits range in within in and a the the a beside the. Values control on measured so the beside in while site measured summary across the. Within same rise a its under control every reference earlier on so lists summary with. Same the lists with same beside reading each falls agrees on below the the.</w:t>
      </w:r>
    </w:p>
    <w:p>
      <w:r>
        <w:br w:type="column"/>
      </w:r>
      <w:r>
        <w:t xml:space="preserve">Rise across under the and same within within range every summary shows its where. Earlier in across in beside the stays where. With a the the in same summary earlier the a rise result method.</w:t>
      </w:r>
    </w:p>
    <w:p>
      <w:r>
        <w:drawing>
          <wp:inline distT="0" distB="0" distL="0" distR="0">
            <wp:extent cx="2032000" cy="1143000"/>
            <wp:effectExtent l="0" t="0" r="0" b="0"/>
            <wp:docPr id="6" name="Picture 6"/>
            <wp:cNvGraphicFramePr>
              <a:graphicFrameLocks noChangeAspect="1"/>
            </wp:cNvGraphicFramePr>
            <a:graphic>
              <a:graphicData uri="http://schemas.openxmlformats.org/drawingml/2006/picture">
                <pic:pic>
                  <pic:nvPicPr>
                    <pic:cNvPr id="0" name="Picture"/>
                    <pic:cNvPicPr/>
                  </pic:nvPicPr>
                  <pic:blipFill>
                    <a:blip r:embed="rId12"/>
                    <a:stretch>
                      <a:fillRect/>
                    </a:stretch>
                  </pic:blipFill>
                  <pic:spPr>
                    <a:xfrm>
                      <a:off x="0" y="0"/>
                      <a:ext cx="2032000" cy="1143000"/>
                    </a:xfrm>
                    <a:prstGeom prst="rect">
                      <a:avLst/>
                    </a:prstGeom>
                  </pic:spPr>
                </pic:pic>
              </a:graphicData>
            </a:graphic>
          </wp:inline>
        </w:drawing>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1600"/>
      </w:tblGrid>
      <w:tr>
        <w:tc>
          <w:tcPr>
            <w:tcW w:w="2400" w:type="dxa"/>
            <w:shd w:val="clear" w:color="auto" w:fill="DEEAF6"/>
          </w:tcPr>
          <w:p>
            <w:r>
              <w:rPr>
                <w:b/>
                <w:bCs/>
              </w:rPr>
              <w:t xml:space="preserve">Item</w:t>
            </w:r>
          </w:p>
        </w:tc>
        <w:tc>
          <w:tcPr>
            <w:tcW w:w="1600" w:type="dxa"/>
            <w:shd w:val="clear" w:color="auto" w:fill="DEEAF6"/>
          </w:tcPr>
          <w:p>
            <w:r>
              <w:rPr>
                <w:b/>
                <w:bCs/>
              </w:rPr>
              <w:t xml:space="preserve">Value</w:t>
            </w:r>
          </w:p>
        </w:tc>
      </w:tr>
      <w:tr>
        <w:tc>
          <w:tcPr>
            <w:tcW w:w="2400" w:type="dxa"/>
          </w:tcPr>
          <w:p>
            <w:r>
              <w:t xml:space="preserve">Measure 1</w:t>
            </w:r>
          </w:p>
        </w:tc>
        <w:tc>
          <w:tcPr>
            <w:tcW w:w="1600" w:type="dxa"/>
          </w:tcPr>
          <w:p>
            <w:pPr>
              <w:jc w:val="right"/>
            </w:pPr>
            <w:r>
              <w:t xml:space="preserve">95</w:t>
            </w:r>
          </w:p>
        </w:tc>
      </w:tr>
      <w:tr>
        <w:tc>
          <w:tcPr>
            <w:tcW w:w="2400" w:type="dxa"/>
          </w:tcPr>
          <w:p>
            <w:r>
              <w:t xml:space="preserve">Measure 2</w:t>
            </w:r>
          </w:p>
        </w:tc>
        <w:tc>
          <w:tcPr>
            <w:tcW w:w="1600" w:type="dxa"/>
          </w:tcPr>
          <w:p>
            <w:pPr>
              <w:jc w:val="right"/>
            </w:pPr>
            <w:r>
              <w:t xml:space="preserve">78</w:t>
            </w:r>
          </w:p>
        </w:tc>
      </w:tr>
      <w:tr>
        <w:tc>
          <w:tcPr>
            <w:tcW w:w="2400" w:type="dxa"/>
          </w:tcPr>
          <w:p>
            <w:r>
              <w:t xml:space="preserve">Measure 3</w:t>
            </w:r>
          </w:p>
        </w:tc>
        <w:tc>
          <w:tcPr>
            <w:tcW w:w="1600" w:type="dxa"/>
          </w:tcPr>
          <w:p>
            <w:pPr>
              <w:jc w:val="right"/>
            </w:pPr>
            <w:r>
              <w:t xml:space="preserve">78</w:t>
            </w:r>
          </w:p>
        </w:tc>
      </w:tr>
    </w:tbl>
    <w:p>
      <w:r>
        <w:t xml:space="preserve">Values work method notes steady lists while and below within protocol steady.</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1600"/>
      </w:tblGrid>
      <w:tr>
        <w:tc>
          <w:tcPr>
            <w:tcW w:w="2400" w:type="dxa"/>
            <w:shd w:val="clear" w:color="auto" w:fill="DEEAF6"/>
          </w:tcPr>
          <w:p>
            <w:r>
              <w:rPr>
                <w:b/>
                <w:bCs/>
              </w:rPr>
              <w:t xml:space="preserve">Item</w:t>
            </w:r>
          </w:p>
        </w:tc>
        <w:tc>
          <w:tcPr>
            <w:tcW w:w="1600" w:type="dxa"/>
            <w:shd w:val="clear" w:color="auto" w:fill="DEEAF6"/>
          </w:tcPr>
          <w:p>
            <w:r>
              <w:rPr>
                <w:b/>
                <w:bCs/>
              </w:rPr>
              <w:t xml:space="preserve">Value</w:t>
            </w:r>
          </w:p>
        </w:tc>
      </w:tr>
      <w:tr>
        <w:tc>
          <w:tcPr>
            <w:tcW w:w="2400" w:type="dxa"/>
          </w:tcPr>
          <w:p>
            <w:r>
              <w:t xml:space="preserve">Measure 1</w:t>
            </w:r>
          </w:p>
        </w:tc>
        <w:tc>
          <w:tcPr>
            <w:tcW w:w="1600" w:type="dxa"/>
          </w:tcPr>
          <w:p>
            <w:pPr>
              <w:jc w:val="right"/>
            </w:pPr>
            <w:r>
              <w:t xml:space="preserve">39</w:t>
            </w:r>
          </w:p>
        </w:tc>
      </w:tr>
      <w:tr>
        <w:tc>
          <w:tcPr>
            <w:tcW w:w="2400" w:type="dxa"/>
          </w:tcPr>
          <w:p>
            <w:r>
              <w:t xml:space="preserve">Measure 2</w:t>
            </w:r>
          </w:p>
        </w:tc>
        <w:tc>
          <w:tcPr>
            <w:tcW w:w="1600" w:type="dxa"/>
          </w:tcPr>
          <w:p>
            <w:pPr>
              <w:jc w:val="right"/>
            </w:pPr>
            <w:r>
              <w:t xml:space="preserve">54</w:t>
            </w:r>
          </w:p>
        </w:tc>
      </w:tr>
      <w:tr>
        <w:tc>
          <w:tcPr>
            <w:tcW w:w="2400" w:type="dxa"/>
          </w:tcPr>
          <w:p>
            <w:r>
              <w:t xml:space="preserve">Measure 3</w:t>
            </w:r>
          </w:p>
        </w:tc>
        <w:tc>
          <w:tcPr>
            <w:tcW w:w="1600" w:type="dxa"/>
          </w:tcPr>
          <w:p>
            <w:pPr>
              <w:jc w:val="right"/>
            </w:pPr>
            <w:r>
              <w:t xml:space="preserve">67</w:t>
            </w:r>
          </w:p>
        </w:tc>
      </w:tr>
    </w:tbl>
    <w:p>
      <w:r>
        <w:t xml:space="preserve">Control values lists work reading samples steady work same its and a.</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1600"/>
      </w:tblGrid>
      <w:tr>
        <w:tc>
          <w:tcPr>
            <w:tcW w:w="2400" w:type="dxa"/>
            <w:shd w:val="clear" w:color="auto" w:fill="DEEAF6"/>
          </w:tcPr>
          <w:p>
            <w:r>
              <w:rPr>
                <w:b/>
                <w:bCs/>
              </w:rPr>
              <w:t xml:space="preserve">Item</w:t>
            </w:r>
          </w:p>
        </w:tc>
        <w:tc>
          <w:tcPr>
            <w:tcW w:w="1600" w:type="dxa"/>
            <w:shd w:val="clear" w:color="auto" w:fill="DEEAF6"/>
          </w:tcPr>
          <w:p>
            <w:r>
              <w:rPr>
                <w:b/>
                <w:bCs/>
              </w:rPr>
              <w:t xml:space="preserve">Value</w:t>
            </w:r>
          </w:p>
        </w:tc>
      </w:tr>
      <w:tr>
        <w:tc>
          <w:tcPr>
            <w:tcW w:w="2400" w:type="dxa"/>
          </w:tcPr>
          <w:p>
            <w:r>
              <w:t xml:space="preserve">Measure 1</w:t>
            </w:r>
          </w:p>
        </w:tc>
        <w:tc>
          <w:tcPr>
            <w:tcW w:w="1600" w:type="dxa"/>
          </w:tcPr>
          <w:p>
            <w:pPr>
              <w:jc w:val="right"/>
            </w:pPr>
            <w:r>
              <w:t xml:space="preserve">61</w:t>
            </w:r>
          </w:p>
        </w:tc>
      </w:tr>
      <w:tr>
        <w:tc>
          <w:tcPr>
            <w:tcW w:w="2400" w:type="dxa"/>
          </w:tcPr>
          <w:p>
            <w:r>
              <w:t xml:space="preserve">Measure 2</w:t>
            </w:r>
          </w:p>
        </w:tc>
        <w:tc>
          <w:tcPr>
            <w:tcW w:w="1600" w:type="dxa"/>
          </w:tcPr>
          <w:p>
            <w:pPr>
              <w:jc w:val="right"/>
            </w:pPr>
            <w:r>
              <w:t xml:space="preserve">81</w:t>
            </w:r>
          </w:p>
        </w:tc>
      </w:tr>
      <w:tr>
        <w:tc>
          <w:tcPr>
            <w:tcW w:w="2400" w:type="dxa"/>
          </w:tcPr>
          <w:p>
            <w:r>
              <w:t xml:space="preserve">Measure 3</w:t>
            </w:r>
          </w:p>
        </w:tc>
        <w:tc>
          <w:tcPr>
            <w:tcW w:w="1600" w:type="dxa"/>
          </w:tcPr>
          <w:p>
            <w:pPr>
              <w:jc w:val="right"/>
            </w:pPr>
            <w:r>
              <w:t xml:space="preserve">19</w:t>
            </w:r>
          </w:p>
        </w:tc>
      </w:tr>
    </w:tbl>
    <w:p>
      <w:r>
        <w:t xml:space="preserve">Lists across beside summary report stays the steady the so with work.</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1600"/>
      </w:tblGrid>
      <w:tr>
        <w:tc>
          <w:tcPr>
            <w:tcW w:w="2400" w:type="dxa"/>
            <w:shd w:val="clear" w:color="auto" w:fill="DEEAF6"/>
          </w:tcPr>
          <w:p>
            <w:r>
              <w:rPr>
                <w:b/>
                <w:bCs/>
              </w:rPr>
              <w:t xml:space="preserve">Item</w:t>
            </w:r>
          </w:p>
        </w:tc>
        <w:tc>
          <w:tcPr>
            <w:tcW w:w="1600" w:type="dxa"/>
            <w:shd w:val="clear" w:color="auto" w:fill="DEEAF6"/>
          </w:tcPr>
          <w:p>
            <w:r>
              <w:rPr>
                <w:b/>
                <w:bCs/>
              </w:rPr>
              <w:t xml:space="preserve">Value</w:t>
            </w:r>
          </w:p>
        </w:tc>
      </w:tr>
      <w:tr>
        <w:tc>
          <w:tcPr>
            <w:tcW w:w="2400" w:type="dxa"/>
          </w:tcPr>
          <w:p>
            <w:r>
              <w:t xml:space="preserve">Measure 1</w:t>
            </w:r>
          </w:p>
        </w:tc>
        <w:tc>
          <w:tcPr>
            <w:tcW w:w="1600" w:type="dxa"/>
          </w:tcPr>
          <w:p>
            <w:pPr>
              <w:jc w:val="right"/>
            </w:pPr>
            <w:r>
              <w:t xml:space="preserve">17</w:t>
            </w:r>
          </w:p>
        </w:tc>
      </w:tr>
      <w:tr>
        <w:tc>
          <w:tcPr>
            <w:tcW w:w="2400" w:type="dxa"/>
          </w:tcPr>
          <w:p>
            <w:r>
              <w:t xml:space="preserve">Measure 2</w:t>
            </w:r>
          </w:p>
        </w:tc>
        <w:tc>
          <w:tcPr>
            <w:tcW w:w="1600" w:type="dxa"/>
          </w:tcPr>
          <w:p>
            <w:pPr>
              <w:jc w:val="right"/>
            </w:pPr>
            <w:r>
              <w:t xml:space="preserve">51</w:t>
            </w:r>
          </w:p>
        </w:tc>
      </w:tr>
      <w:tr>
        <w:tc>
          <w:tcPr>
            <w:tcW w:w="2400" w:type="dxa"/>
          </w:tcPr>
          <w:p>
            <w:r>
              <w:t xml:space="preserve">Measure 3</w:t>
            </w:r>
          </w:p>
        </w:tc>
        <w:tc>
          <w:tcPr>
            <w:tcW w:w="1600" w:type="dxa"/>
          </w:tcPr>
          <w:p>
            <w:pPr>
              <w:jc w:val="right"/>
            </w:pPr>
            <w:r>
              <w:t xml:space="preserve">36</w:t>
            </w:r>
          </w:p>
        </w:tc>
      </w:tr>
    </w:tbl>
    <w:p>
      <w:r>
        <w:t xml:space="preserve">Falls protocol group summary the each the method values notes site same.</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1600"/>
      </w:tblGrid>
      <w:tr>
        <w:tc>
          <w:tcPr>
            <w:tcW w:w="2400" w:type="dxa"/>
            <w:shd w:val="clear" w:color="auto" w:fill="DEEAF6"/>
          </w:tcPr>
          <w:p>
            <w:r>
              <w:rPr>
                <w:b/>
                <w:bCs/>
              </w:rPr>
              <w:t xml:space="preserve">Item</w:t>
            </w:r>
          </w:p>
        </w:tc>
        <w:tc>
          <w:tcPr>
            <w:tcW w:w="1600" w:type="dxa"/>
            <w:shd w:val="clear" w:color="auto" w:fill="DEEAF6"/>
          </w:tcPr>
          <w:p>
            <w:r>
              <w:rPr>
                <w:b/>
                <w:bCs/>
              </w:rPr>
              <w:t xml:space="preserve">Value</w:t>
            </w:r>
          </w:p>
        </w:tc>
      </w:tr>
      <w:tr>
        <w:tc>
          <w:tcPr>
            <w:tcW w:w="2400" w:type="dxa"/>
          </w:tcPr>
          <w:p>
            <w:r>
              <w:t xml:space="preserve">Measure 1</w:t>
            </w:r>
          </w:p>
        </w:tc>
        <w:tc>
          <w:tcPr>
            <w:tcW w:w="1600" w:type="dxa"/>
          </w:tcPr>
          <w:p>
            <w:pPr>
              <w:jc w:val="right"/>
            </w:pPr>
            <w:r>
              <w:t xml:space="preserve">70</w:t>
            </w:r>
          </w:p>
        </w:tc>
      </w:tr>
      <w:tr>
        <w:tc>
          <w:tcPr>
            <w:tcW w:w="2400" w:type="dxa"/>
          </w:tcPr>
          <w:p>
            <w:r>
              <w:t xml:space="preserve">Measure 2</w:t>
            </w:r>
          </w:p>
        </w:tc>
        <w:tc>
          <w:tcPr>
            <w:tcW w:w="1600" w:type="dxa"/>
          </w:tcPr>
          <w:p>
            <w:pPr>
              <w:jc w:val="right"/>
            </w:pPr>
            <w:r>
              <w:t xml:space="preserve">92</w:t>
            </w:r>
          </w:p>
        </w:tc>
      </w:tr>
      <w:tr>
        <w:tc>
          <w:tcPr>
            <w:tcW w:w="2400" w:type="dxa"/>
          </w:tcPr>
          <w:p>
            <w:r>
              <w:t xml:space="preserve">Measure 3</w:t>
            </w:r>
          </w:p>
        </w:tc>
        <w:tc>
          <w:tcPr>
            <w:tcW w:w="1600" w:type="dxa"/>
          </w:tcPr>
          <w:p>
            <w:pPr>
              <w:jc w:val="right"/>
            </w:pPr>
            <w:r>
              <w:t xml:space="preserve">20</w:t>
            </w:r>
          </w:p>
        </w:tc>
      </w:tr>
    </w:tbl>
    <w:p>
      <w:r>
        <w:t xml:space="preserve">The within the control group under beside earlier and result the a.</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1600"/>
      </w:tblGrid>
      <w:tr>
        <w:tc>
          <w:tcPr>
            <w:tcW w:w="2400" w:type="dxa"/>
            <w:shd w:val="clear" w:color="auto" w:fill="DEEAF6"/>
          </w:tcPr>
          <w:p>
            <w:r>
              <w:rPr>
                <w:b/>
                <w:bCs/>
              </w:rPr>
              <w:t xml:space="preserve">Item</w:t>
            </w:r>
          </w:p>
        </w:tc>
        <w:tc>
          <w:tcPr>
            <w:tcW w:w="1600" w:type="dxa"/>
            <w:shd w:val="clear" w:color="auto" w:fill="DEEAF6"/>
          </w:tcPr>
          <w:p>
            <w:r>
              <w:rPr>
                <w:b/>
                <w:bCs/>
              </w:rPr>
              <w:t xml:space="preserve">Value</w:t>
            </w:r>
          </w:p>
        </w:tc>
      </w:tr>
      <w:tr>
        <w:tc>
          <w:tcPr>
            <w:tcW w:w="2400" w:type="dxa"/>
          </w:tcPr>
          <w:p>
            <w:r>
              <w:t xml:space="preserve">Measure 1</w:t>
            </w:r>
          </w:p>
        </w:tc>
        <w:tc>
          <w:tcPr>
            <w:tcW w:w="1600" w:type="dxa"/>
          </w:tcPr>
          <w:p>
            <w:pPr>
              <w:jc w:val="right"/>
            </w:pPr>
            <w:r>
              <w:t xml:space="preserve">79</w:t>
            </w:r>
          </w:p>
        </w:tc>
      </w:tr>
      <w:tr>
        <w:tc>
          <w:tcPr>
            <w:tcW w:w="2400" w:type="dxa"/>
          </w:tcPr>
          <w:p>
            <w:r>
              <w:t xml:space="preserve">Measure 2</w:t>
            </w:r>
          </w:p>
        </w:tc>
        <w:tc>
          <w:tcPr>
            <w:tcW w:w="1600" w:type="dxa"/>
          </w:tcPr>
          <w:p>
            <w:pPr>
              <w:jc w:val="right"/>
            </w:pPr>
            <w:r>
              <w:t xml:space="preserve">87</w:t>
            </w:r>
          </w:p>
        </w:tc>
      </w:tr>
      <w:tr>
        <w:tc>
          <w:tcPr>
            <w:tcW w:w="2400" w:type="dxa"/>
          </w:tcPr>
          <w:p>
            <w:r>
              <w:t xml:space="preserve">Measure 3</w:t>
            </w:r>
          </w:p>
        </w:tc>
        <w:tc>
          <w:tcPr>
            <w:tcW w:w="1600" w:type="dxa"/>
          </w:tcPr>
          <w:p>
            <w:pPr>
              <w:jc w:val="right"/>
            </w:pPr>
            <w:r>
              <w:t xml:space="preserve">35</w:t>
            </w:r>
          </w:p>
        </w:tc>
      </w:tr>
    </w:tbl>
    <w:p>
      <w:r>
        <w:t xml:space="preserve">Protocol beside a within site report with each the reference across samples.</w:t>
      </w:r>
    </w:p>
    <w:sectPr>
      <w:headerReference w:type="default" r:id="rId15"/>
      <w:footerReference w:type="default" r:id="rId16"/>
      <w:type w:val="nextPage"/>
      <w:pgSz w:w="12242" w:h="15842"/>
      <w:pgMar w:top="1440" w:right="1440" w:bottom="1440" w:left="1440" w:header="720" w:footer="720" w:gutter="0"/>
      <w:cols w:num="2" w:space="720"/>
      <w:docGrid w:linePitch="36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Footer"/>
      <w:jc w:val="center"/>
    </w:pPr>
    <w:r>
      <w:t xml:space="preserve">Page </w:t>
    </w:r>
    <w:r>
      <w:fldChar w:fldCharType="begin"/>
    </w:r>
    <w:r>
      <w:instrText xml:space="preserve"> PAGE </w:instrText>
    </w:r>
    <w:r>
      <w:fldChar w:fldCharType="separate"/>
    </w:r>
    <w:r>
      <w:t xml:space="preserve">1</w:t>
    </w:r>
    <w:r>
      <w:fldChar w:fldCharType="end"/>
    </w:r>
    <w:r>
      <w:t xml:space="preserve"> of </w:t>
    </w:r>
    <w:r>
      <w:fldChar w:fldCharType="begin"/>
    </w:r>
    <w:r>
      <w:instrText xml:space="preserve"> NUMPAGES </w:instrText>
    </w:r>
    <w:r>
      <w:fldChar w:fldCharType="separate"/>
    </w:r>
    <w:r>
      <w:t xml:space="preserve">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pPr>
    <w:r>
      <w:drawing>
        <wp:inline distT="0" distB="0" distL="0" distR="0">
          <wp:extent cx="457200" cy="457200"/>
          <wp:effectExtent l="0" t="0" r="0" b="0"/>
          <wp:docPr id="1" name="Picture 1"/>
          <wp:cNvGraphicFramePr>
            <a:graphicFrameLocks noChangeAspect="1"/>
          </wp:cNvGraphicFramePr>
          <a:graphic>
            <a:graphicData uri="http://schemas.openxmlformats.org/drawingml/2006/picture">
              <pic:pic>
                <pic:nvPicPr>
                  <pic:cNvPr id="0" name="Picture"/>
                  <pic:cNvPicPr/>
                </pic:nvPicPr>
                <pic:blipFill>
                  <a:blip r:embed="rId13"/>
                  <a:stretch>
                    <a:fillRect/>
                  </a:stretch>
                </pic:blipFill>
                <pic:spPr>
                  <a:xfrm>
                    <a:off x="0" y="0"/>
                    <a:ext cx="457200" cy="457200"/>
                  </a:xfrm>
                  <a:prstGeom prst="rect">
                    <a:avLst/>
                  </a:prstGeom>
                </pic:spPr>
              </pic:pic>
            </a:graphicData>
          </a:graphic>
        </wp:inline>
      </w:drawing>
    </w:r>
    <w:r>
      <w:tab/>
      <w:t xml:space="preserve">Customer Solution Case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p>
    <w:pPr>
      <w:pStyle w:val="Header"/>
      <w:jc w:val="right"/>
    </w:pPr>
    <w:r>
      <w:t xml:space="preserve">Case study</w:t>
    </w:r>
  </w:p>
</w:hdr>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zoom w:percent="100"/>
  <w:defaultTabStop w:val="720"/>
  <w:characterSpacingControl w:val="doNotCompress"/>
  <w:compat>
    <w:compatSetting w:name="compatibilityMode" w:uri="http://schemas.microsoft.com/office/word" w:val="15"/>
  </w:compat>
  <w:themeFontLang w:val="en-US" w:eastAsia="zh-CN" w:bidi="ar-SA"/>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style w:type="paragraph" w:default="1" w:styleId="Normal">
    <w:name w:val="Normal"/>
    <w:qFormat/>
    <w:pPr>
      <w:spacing w:after="160" w:line="259" w:lineRule="auto"/>
    </w:pPr>
  </w:style>
  <w:style w:type="paragraph" w:styleId="Heading1">
    <w:name w:val="heading 1"/>
    <w:basedOn w:val="Normal"/>
    <w:qFormat/>
    <w:pPr>
      <w:keepNext/>
      <w:keepLines/>
      <w:spacing w:before="240" w:after="120"/>
      <w:outlineLvl w:val="0"/>
    </w:pPr>
    <w:rPr>
      <w:rFonts w:asciiTheme="majorHAnsi" w:hAnsiTheme="majorHAnsi" w:eastAsiaTheme="majorEastAsia" w:cstheme="majorBidi"/>
      <w:b/>
      <w:color w:val="1F4E79"/>
      <w:sz w:val="32"/>
      <w:szCs w:val="32"/>
    </w:rPr>
  </w:style>
  <w:style w:type="paragraph" w:styleId="Heading2">
    <w:name w:val="heading 2"/>
    <w:basedOn w:val="Normal"/>
    <w:qFormat/>
    <w:pPr>
      <w:keepNext/>
      <w:spacing w:before="200" w:after="80"/>
      <w:outlineLvl w:val="1"/>
    </w:pPr>
    <w:rPr>
      <w:rFonts w:asciiTheme="majorHAnsi" w:hAnsiTheme="majorHAnsi"/>
      <w:b/>
      <w:color w:val="2E74B5"/>
      <w:sz w:val="26"/>
    </w:rPr>
  </w:style>
  <w:style w:type="paragraph" w:styleId="Heading3">
    <w:name w:val="heading 3"/>
    <w:basedOn w:val="Normal"/>
    <w:qFormat/>
    <w:pPr>
      <w:keepNext/>
      <w:spacing w:before="160" w:after="60"/>
      <w:outlineLvl w:val="2"/>
    </w:pPr>
    <w:rPr>
      <w:b/>
      <w:i/>
      <w:color w:val="404040"/>
      <w:sz w:val="24"/>
    </w:rPr>
  </w:style>
  <w:style w:type="paragraph" w:styleId="Title">
    <w:name w:val="Title"/>
    <w:basedOn w:val="Normal"/>
    <w:qFormat/>
    <w:pPr>
      <w:spacing w:after="240"/>
    </w:pPr>
    <w:rPr>
      <w:rFonts w:asciiTheme="majorHAnsi" w:hAnsiTheme="majorHAnsi"/>
      <w:sz w:val="52"/>
      <w:szCs w:val="52"/>
    </w:rPr>
  </w:style>
  <w:style w:type="paragraph" w:styleId="TOC1">
    <w:name w:val="toc 1"/>
    <w:basedOn w:val="Normal"/>
    <w:qFormat/>
    <w:pPr>
      <w:tabs>
        <w:tab w:val="right" w:leader="dot" w:pos="9350"/>
      </w:tabs>
      <w:spacing w:after="80"/>
    </w:pPr>
    <w:rPr>
      <w:b/>
    </w:rPr>
  </w:style>
  <w:style w:type="paragraph" w:styleId="TOC2">
    <w:name w:val="toc 2"/>
    <w:basedOn w:val="Normal"/>
    <w:qFormat/>
    <w:pPr>
      <w:tabs>
        <w:tab w:val="right" w:leader="dot" w:pos="9350"/>
      </w:tabs>
      <w:spacing w:after="60"/>
      <w:ind w:left="220"/>
    </w:pPr>
  </w:style>
  <w:style w:type="paragraph" w:styleId="TOC3">
    <w:name w:val="toc 3"/>
    <w:basedOn w:val="Normal"/>
    <w:qFormat/>
    <w:pPr>
      <w:tabs>
        <w:tab w:val="right" w:leader="dot" w:pos="9350"/>
      </w:tabs>
      <w:spacing w:after="60"/>
      <w:ind w:left="440"/>
    </w:pPr>
    <w:rPr>
      <w:i/>
    </w:rPr>
  </w:style>
  <w:style w:type="paragraph" w:styleId="TOCHeading">
    <w:name w:val="TOC Heading"/>
    <w:basedOn w:val="Heading1"/>
    <w:qFormat/>
    <w:pPr>
      <w:outlineLvl w:val="9"/>
    </w:pPr>
  </w:style>
  <w:style w:type="paragraph" w:styleId="Caption">
    <w:name w:val="caption"/>
    <w:basedOn w:val="Normal"/>
    <w:qFormat/>
    <w:pPr>
      <w:spacing w:after="200"/>
    </w:pPr>
    <w:rPr>
      <w:i/>
      <w:color w:val="44546A"/>
      <w:sz w:val="18"/>
    </w:rPr>
  </w:style>
  <w:style w:type="paragraph" w:styleId="FootnoteText">
    <w:name w:val="footnote text"/>
    <w:basedOn w:val="Normal"/>
    <w:qFormat/>
    <w:pPr>
      <w:spacing w:after="0" w:line="240" w:lineRule="auto"/>
    </w:pPr>
    <w:rPr>
      <w:sz w:val="20"/>
      <w:szCs w:val="20"/>
    </w:rPr>
  </w:style>
  <w:style w:type="paragraph" w:styleId="EndnoteText">
    <w:name w:val="endnote text"/>
    <w:basedOn w:val="Normal"/>
    <w:qFormat/>
    <w:pPr>
      <w:spacing w:after="0" w:line="240" w:lineRule="auto"/>
    </w:pPr>
    <w:rPr>
      <w:sz w:val="20"/>
      <w:szCs w:val="20"/>
    </w:rPr>
  </w:style>
  <w:style w:type="paragraph" w:styleId="Header">
    <w:name w:val="header"/>
    <w:basedOn w:val="Normal"/>
    <w:qFormat/>
    <w:pPr>
      <w:tabs>
        <w:tab w:val="center" w:pos="4680"/>
        <w:tab w:val="right" w:pos="9360"/>
      </w:tabs>
      <w:spacing w:after="0" w:line="240" w:lineRule="auto"/>
    </w:pPr>
  </w:style>
  <w:style w:type="paragraph" w:styleId="Footer">
    <w:name w:val="footer"/>
    <w:basedOn w:val="Normal"/>
    <w:qFormat/>
    <w:pPr>
      <w:tabs>
        <w:tab w:val="center" w:pos="4680"/>
        <w:tab w:val="right" w:pos="9360"/>
      </w:tabs>
      <w:spacing w:after="0" w:line="240" w:lineRule="auto"/>
    </w:pPr>
  </w:style>
  <w:style w:type="paragraph" w:styleId="ListParagraph">
    <w:name w:val="List Paragraph"/>
    <w:basedOn w:val="Normal"/>
    <w:qFormat/>
    <w:pPr>
      <w:ind w:left="720"/>
      <w:contextualSpacing/>
    </w:pPr>
  </w:style>
  <w:style w:type="paragraph" w:styleId="CommentText">
    <w:name w:val="annotation text"/>
    <w:basedOn w:val="Normal"/>
    <w:qFormat/>
    <w:pPr>
      <w:spacing w:line="240" w:lineRule="auto"/>
    </w:pPr>
    <w:rPr>
      <w:sz w:val="20"/>
    </w:rPr>
  </w:style>
  <w:style w:type="paragraph" w:styleId="Bibliography">
    <w:name w:val="Bibliography"/>
    <w:basedOn w:val="Normal"/>
    <w:qFormat/>
    <w:pPr>
      <w:ind w:left="720" w:hanging="720"/>
    </w:pPr>
  </w:style>
  <w:style w:type="character" w:styleId="FootnoteReference">
    <w:name w:val="footnote reference"/>
    <w:qFormat/>
    <w:rPr>
      <w:vertAlign w:val="superscript"/>
    </w:rPr>
  </w:style>
  <w:style w:type="character" w:styleId="EndnoteReference">
    <w:name w:val="endnote reference"/>
    <w:qFormat/>
    <w:rPr>
      <w:vertAlign w:val="superscript"/>
    </w:rPr>
  </w:style>
  <w:style w:type="character" w:styleId="CommentReference">
    <w:name w:val="annotation reference"/>
    <w:qFormat/>
    <w:rPr>
      <w:sz w:val="16"/>
    </w:rPr>
  </w:style>
  <w:style w:type="character" w:styleId="Hyperlink">
    <w:name w:val="Hyperlink"/>
    <w:qFormat/>
    <w:rPr>
      <w:color w:val="0563C1"/>
      <w:u w:val="single"/>
    </w:rPr>
  </w:style>
  <w:style w:type="character" w:styleId="PlaceholderText">
    <w:name w:val="Placeholder Text"/>
    <w:qFormat/>
    <w:rPr>
      <w:color w:val="808080"/>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styles" Target="styles.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3" Type="http://schemas.openxmlformats.org/officeDocument/2006/relationships/image" Target="media/image4.png"/></Relationships>
</file>

<file path=word/theme/theme1.xml><?xml version="1.0" encoding="utf-8"?>
<a:theme xmlns:a="http://schemas.openxmlformats.org/drawingml/2006/main" name="Corpus">
  <a:themeElements>
    <a:clrScheme name="Corpus">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pus">
      <a:majorFont>
        <a:latin typeface="Cambria"/>
        <a:ea typeface=""/>
        <a:cs typeface=""/>
        <a:font script="Hans" typeface="SimSun"/>
        <a:font script="Jpan" typeface="MS Mincho"/>
        <a:font script="Hebr" typeface="Times New Roman"/>
        <a:font script="Arab" typeface="Times New Roman"/>
      </a:majorFont>
      <a:minorFont>
        <a:latin typeface="Calibri"/>
        <a:ea typeface=""/>
        <a:cs typeface=""/>
        <a:font script="Hans" typeface="SimSun"/>
        <a:font script="Jpan" typeface="MS Mincho"/>
        <a:font script="Hebr" typeface="Arial"/>
        <a:font script="Arab" typeface="Arial"/>
      </a:minorFont>
    </a:fontScheme>
    <a:fmtScheme name="Corpus">
      <a: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67000"/>
              </a:schemeClr>
            </a:gs>
            <a:gs pos="100000">
              <a:schemeClr val="phClr">
                <a:shade val="94000"/>
              </a:schemeClr>
            </a:gs>
          </a:gsLst>
          <a:lin ang="5400000" scaled="0"/>
        </a:gradFill>
        <a:gradFill rotWithShape="1">
          <a:gsLst>
            <a:gs pos="0">
              <a:schemeClr val="phClr">
                <a:tint val="67000"/>
              </a:schemeClr>
            </a:gs>
            <a:gs pos="100000">
              <a:schemeClr val="phClr">
                <a:shade val="94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docx-to-pdf corpus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Customer solution case study</dc:title>
  <dc:creator>docx-to-pdf contributors</dc:creator>
  <dcterms:created xsi:type="dcterms:W3CDTF">2026-01-01T00:00:00Z</dcterms:created>
  <dcterms:modified xsi:type="dcterms:W3CDTF">2026-01-01T00:00:00Z</dcterms:modified>
</cp:coreProperties>
</file>