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body>
    <w:p>
      <w:r>
        <w:rPr>
          <w:b/>
          <w:bCs/>
          <w:sz w:val="36"/>
          <w:szCs w:val="36"/>
        </w:rPr>
        <w:t xml:space="preserve">Xxxxxxxx Xxxxxxxx Report</w:t>
      </w:r>
    </w:p>
    <w:p>
      <w:r>
        <mc:AlternateContent>
          <mc:Choice Requires="wps">
            <w:drawing>
              <wp:anchor distT="0" distB="0" distL="114300" distR="114300" simplePos="0" relativeHeight="251658241" behindDoc="0" locked="0" layoutInCell="1" allowOverlap="1">
                <wp:simplePos x="0" y="0"/>
                <wp:positionH relativeFrom="column">
                  <wp:posOffset>3810000</wp:posOffset>
                </wp:positionH>
                <wp:positionV relativeFrom="paragraph">
                  <wp:posOffset>127000</wp:posOffset>
                </wp:positionV>
                <wp:extent cx="2032000" cy="1143000"/>
                <wp:effectExtent l="0" t="0" r="0" b="0"/>
                <wp:wrapSquare wrapText="bothSides"/>
                <wp:docPr id="1" name="Shape 1"/>
                <wp:cNvGraphicFramePr/>
                <a:graphic>
                  <a:graphicData uri="http://schemas.microsoft.com/office/word/2010/wordprocessingShape">
                    <wps:wsp>
                      <wps:cNvSpPr txBox="1"/>
                      <wps:spPr>
                        <a:xfrm>
                          <a:off x="0" y="0"/>
                          <a:ext cx="2032000" cy="1143000"/>
                        </a:xfrm>
                        <a:prstGeom prst="rect">
                          <a:avLst/>
                        </a:prstGeom>
                        <a:solidFill>
                          <a:srgbClr val="DEEAF6"/>
                        </a:solidFill>
                        <a:ln w="12700">
                          <a:solidFill>
                            <a:srgbClr val="1F4E79"/>
                          </a:solidFill>
                        </a:ln>
                      </wps:spPr>
                      <wps:txbx>
                        <w:txbxContent>
                          <w:p>
                            <w:r>
                              <w:rPr>
                                <w:b/>
                                <w:bCs/>
                              </w:rPr>
                              <w:t xml:space="preserve">Summary</w:t>
                            </w:r>
                          </w:p>
                          <w:p>
                            <w:r>
                              <w:t xml:space="preserve">With across below across same the notes its expected reference site a.</w:t>
                            </w:r>
                          </w:p>
                        </w:txbxContent>
                      </wps:txbx>
                      <wps:bodyPr rot="0" vert="horz" wrap="square" lIns="91440" tIns="45720" rIns="91440" bIns="45720" anchor="t" anchorCtr="0">
                        <a:noAutofit/>
                      </wps:bodyPr>
                    </wps:wsp>
                  </a:graphicData>
                </a:graphic>
              </wp:anchor>
            </w:drawing>
          </mc:Choice>
          <mc:Fallback>
            <w:pict>
              <v:shape id="tb1" type="#_x0000_t202" style="position:absolute;margin-left:300pt;margin-top:10pt;width:160pt;height:90pt;z-index:1" fillcolor="#DEEAF6" strokecolor="#1F4E79">
                <v:textbox>
                  <w:txbxContent>
                    <w:p>
                      <w:r>
                        <w:rPr>
                          <w:b/>
                          <w:bCs/>
                        </w:rPr>
                        <w:t xml:space="preserve">Summary</w:t>
                      </w:r>
                    </w:p>
                    <w:p>
                      <w:r>
                        <w:t xml:space="preserve">With across below across same the notes its expected reference site a.</w:t>
                      </w:r>
                    </w:p>
                  </w:txbxContent>
                </v:textbox>
                <w10:wrap type="square"/>
              </v:shape>
            </w:pict>
          </mc:Fallback>
        </mc:AlternateContent>
      </w:r>
      <w:r>
        <w:t xml:space="preserve">The a each each expected method summary earlier. Control expected in on across expected the lists. Under the steady range result work while outside while its samples. Where outside where on under the the so.</w:t>
      </w:r>
    </w:p>
    <w:p>
      <w:pPr>
        <w:sectPr>
          <w:headerReference w:type="default" r:id="rId11"/>
          <w:headerReference w:type="first" r:id="rId12"/>
          <w:headerReference w:type="even" r:id="rId13"/>
          <w:footerReference w:type="default" r:id="rId14"/>
          <w:footerReference w:type="first" r:id="rId15"/>
          <w:footerReference w:type="even" r:id="rId16"/>
          <w:type w:val="nextPage"/>
          <w:pgSz w:w="12240" w:h="15840"/>
          <w:pgMar w:top="1440" w:right="1440" w:bottom="1440" w:left="1440" w:header="720" w:footer="720" w:gutter="0"/>
          <w:cols w:space="720"/>
          <w:titlePg/>
          <w:docGrid w:linePitch="360"/>
        </w:sectPr>
      </w:pPr>
    </w:p>
    <w:tbl>
      <w:tblPr>
        <w:tblpPr w:leftFromText="141" w:rightFromText="141" w:vertAnchor="text" w:horzAnchor="page" w:tblpX="5800" w:tblpY="300"/>
        <w:tblOverlap w:val="never"/>
        <w:tblW w:w="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600"/>
        <w:gridCol w:w="1000"/>
      </w:tblGrid>
      <w:tr>
        <w:tc>
          <w:tcPr>
            <w:tcW w:w="1600" w:type="dxa"/>
            <w:shd w:val="clear" w:color="auto" w:fill="BDD7EE"/>
          </w:tcPr>
          <w:p>
            <w:r>
              <w:rPr>
                <w:b/>
                <w:bCs/>
              </w:rPr>
              <w:t xml:space="preserve">Floating A</w:t>
            </w:r>
          </w:p>
        </w:tc>
        <w:tc>
          <w:tcPr>
            <w:tcW w:w="1000" w:type="dxa"/>
            <w:shd w:val="clear" w:color="auto" w:fill="BDD7EE"/>
          </w:tcPr>
          <w:p>
            <w:r>
              <w:rPr>
                <w:b/>
                <w:bCs/>
              </w:rPr>
              <w:t xml:space="preserve">Value</w:t>
            </w:r>
          </w:p>
        </w:tc>
      </w:tr>
      <w:tr>
        <w:tc>
          <w:tcPr>
            <w:tcW w:w="1600" w:type="dxa"/>
          </w:tcPr>
          <w:p>
            <w:r>
              <w:t xml:space="preserve">Row 1</w:t>
            </w:r>
          </w:p>
        </w:tc>
        <w:tc>
          <w:tcPr>
            <w:tcW w:w="1000" w:type="dxa"/>
          </w:tcPr>
          <w:p>
            <w:pPr>
              <w:jc w:val="right"/>
            </w:pPr>
            <w:r>
              <w:t xml:space="preserve">373</w:t>
            </w:r>
          </w:p>
        </w:tc>
      </w:tr>
      <w:tr>
        <w:tc>
          <w:tcPr>
            <w:tcW w:w="1600" w:type="dxa"/>
          </w:tcPr>
          <w:p>
            <w:r>
              <w:t xml:space="preserve">Row 2</w:t>
            </w:r>
          </w:p>
        </w:tc>
        <w:tc>
          <w:tcPr>
            <w:tcW w:w="1000" w:type="dxa"/>
          </w:tcPr>
          <w:p>
            <w:pPr>
              <w:jc w:val="right"/>
            </w:pPr>
            <w:r>
              <w:t xml:space="preserve">546</w:t>
            </w:r>
          </w:p>
        </w:tc>
      </w:tr>
      <w:tr>
        <w:tc>
          <w:tcPr>
            <w:tcW w:w="1600" w:type="dxa"/>
          </w:tcPr>
          <w:p>
            <w:r>
              <w:t xml:space="preserve">Row 3</w:t>
            </w:r>
          </w:p>
        </w:tc>
        <w:tc>
          <w:tcPr>
            <w:tcW w:w="1000" w:type="dxa"/>
          </w:tcPr>
          <w:p>
            <w:pPr>
              <w:jc w:val="right"/>
            </w:pPr>
            <w:r>
              <w:t xml:space="preserve">882</w:t>
            </w:r>
          </w:p>
        </w:tc>
      </w:tr>
      <w:tr>
        <w:tc>
          <w:tcPr>
            <w:tcW w:w="1600" w:type="dxa"/>
          </w:tcPr>
          <w:p>
            <w:r>
              <w:t xml:space="preserve">Row 4</w:t>
            </w:r>
          </w:p>
        </w:tc>
        <w:tc>
          <w:tcPr>
            <w:tcW w:w="1000" w:type="dxa"/>
          </w:tcPr>
          <w:p>
            <w:pPr>
              <w:jc w:val="right"/>
            </w:pPr>
            <w:r>
              <w:t xml:space="preserve">489</w:t>
            </w:r>
          </w:p>
        </w:tc>
      </w:tr>
    </w:tbl>
    <w:p>
      <w:pPr>
        <w:numPr>
          <w:ilvl w:val="0"/>
          <w:numId w:val="1"/>
        </w:numPr>
      </w:pPr>
      <w:r>
        <w:t xml:space="preserve">And a a steady same method the in falls within reading reference. Within limits expected range limits earlier values control reference the the below the with. Its steady the result where in a a across same work steady outside the within with.</w:t>
      </w:r>
    </w:p>
    <w:p>
      <w:pPr>
        <w:numPr>
          <w:ilvl w:val="0"/>
          <w:numId w:val="1"/>
        </w:numPr>
      </w:pPr>
      <w:r>
        <w:t xml:space="preserve">And measured protocol site falls reference the the each values every samples. Its values under agrees same reading result earlier a samples beside result in the the. And limits notes shows beside control every under across.</w:t>
      </w:r>
    </w:p>
    <w:p>
      <w:pPr>
        <w:numPr>
          <w:ilvl w:val="0"/>
          <w:numId w:val="1"/>
        </w:numPr>
      </w:pPr>
      <w:r>
        <w:t xml:space="preserve">Under reference limits its in range a notes with same notes within stays samples on its. Lists shows every beside within values taken same notes site where while the. Falls result in the values earlier method within steady shows group within.</w:t>
      </w:r>
    </w:p>
    <w:p>
      <w:r>
        <w:t xml:space="preserve">Stays samples each notes limits protocol reference and report within falls agrees summary expected and the. Site values where work control samples work and result. Method the the on result a protocol group with falls steady method earlier measured.</w:t>
      </w:r>
    </w:p>
    <w:p>
      <w:r>
        <w:drawing>
          <wp:anchor distT="0" distB="0" distL="114300" distR="114300" simplePos="0" relativeHeight="251658242" behindDoc="0" locked="0" layoutInCell="1" allowOverlap="1">
            <wp:simplePos x="0" y="0"/>
            <wp:positionH relativeFrom="column">
              <wp:posOffset>0</wp:posOffset>
            </wp:positionH>
            <wp:positionV relativeFrom="paragraph">
              <wp:posOffset>0</wp:posOffset>
            </wp:positionV>
            <wp:extent cx="1371600" cy="914400"/>
            <wp:effectExtent l="0" t="0" r="0" b="0"/>
            <wp:wrapSquare wrapText="bothSides"/>
            <wp:docPr id="2" name="Shape 2"/>
            <wp:cNvGraphicFramePr/>
            <a:graphic>
              <a:graphicData uri="http://schemas.openxmlformats.org/drawingml/2006/picture">
                <pic:pic>
                  <pic:nvPicPr>
                    <pic:cNvPr id="0" name="p"/>
                    <pic:cNvPicPr/>
                  </pic:nvPicPr>
                  <pic:blipFill>
                    <a:blip r:embed="rId10"/>
                    <a:stretch>
                      <a:fillRect/>
                    </a:stretch>
                  </pic:blipFill>
                  <pic:spPr>
                    <a:xfrm>
                      <a:off x="0" y="0"/>
                      <a:ext cx="1371600" cy="914400"/>
                    </a:xfrm>
                    <a:prstGeom prst="rect">
                      <a:avLst/>
                    </a:prstGeom>
                  </pic:spPr>
                </pic:pic>
              </a:graphicData>
            </a:graphic>
          </wp:anchor>
        </w:drawing>
      </w:r>
      <w:r>
        <w:t xml:space="preserve">Group notes its falls site and the reference report the. The result the the group earlier under a every notes so limits under rise. Each a report values under and the each earlier. Protocol expected its reading range the reference each its.</w:t>
      </w:r>
    </w:p>
    <w:tbl>
      <w:tblPr>
        <w:tblpPr w:leftFromText="141" w:rightFromText="141" w:vertAnchor="text" w:horzAnchor="margin" w:tblpX="0" w:tblpY="200"/>
        <w:tblOverlap w:val="never"/>
        <w:tblW w:w="2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600"/>
        <w:gridCol w:w="1000"/>
      </w:tblGrid>
      <w:tr>
        <w:tc>
          <w:tcPr>
            <w:tcW w:w="1600" w:type="dxa"/>
            <w:shd w:val="clear" w:color="auto" w:fill="BDD7EE"/>
          </w:tcPr>
          <w:p>
            <w:r>
              <w:rPr>
                <w:b/>
                <w:bCs/>
              </w:rPr>
              <w:t xml:space="preserve">Floating B</w:t>
            </w:r>
          </w:p>
        </w:tc>
        <w:tc>
          <w:tcPr>
            <w:tcW w:w="1000" w:type="dxa"/>
            <w:shd w:val="clear" w:color="auto" w:fill="BDD7EE"/>
          </w:tcPr>
          <w:p>
            <w:r>
              <w:rPr>
                <w:b/>
                <w:bCs/>
              </w:rPr>
              <w:t xml:space="preserve">Value</w:t>
            </w:r>
          </w:p>
        </w:tc>
      </w:tr>
      <w:tr>
        <w:tc>
          <w:tcPr>
            <w:tcW w:w="1600" w:type="dxa"/>
          </w:tcPr>
          <w:p>
            <w:r>
              <w:t xml:space="preserve">Row 1</w:t>
            </w:r>
          </w:p>
        </w:tc>
        <w:tc>
          <w:tcPr>
            <w:tcW w:w="1000" w:type="dxa"/>
          </w:tcPr>
          <w:p>
            <w:pPr>
              <w:jc w:val="right"/>
            </w:pPr>
            <w:r>
              <w:t xml:space="preserve">951</w:t>
            </w:r>
          </w:p>
        </w:tc>
      </w:tr>
      <w:tr>
        <w:tc>
          <w:tcPr>
            <w:tcW w:w="1600" w:type="dxa"/>
          </w:tcPr>
          <w:p>
            <w:r>
              <w:t xml:space="preserve">Row 2</w:t>
            </w:r>
          </w:p>
        </w:tc>
        <w:tc>
          <w:tcPr>
            <w:tcW w:w="1000" w:type="dxa"/>
          </w:tcPr>
          <w:p>
            <w:pPr>
              <w:jc w:val="right"/>
            </w:pPr>
            <w:r>
              <w:t xml:space="preserve">871</w:t>
            </w:r>
          </w:p>
        </w:tc>
      </w:tr>
      <w:tr>
        <w:tc>
          <w:tcPr>
            <w:tcW w:w="1600" w:type="dxa"/>
          </w:tcPr>
          <w:p>
            <w:r>
              <w:t xml:space="preserve">Row 3</w:t>
            </w:r>
          </w:p>
        </w:tc>
        <w:tc>
          <w:tcPr>
            <w:tcW w:w="1000" w:type="dxa"/>
          </w:tcPr>
          <w:p>
            <w:pPr>
              <w:jc w:val="right"/>
            </w:pPr>
            <w:r>
              <w:t xml:space="preserve">550</w:t>
            </w:r>
          </w:p>
        </w:tc>
      </w:tr>
      <w:tr>
        <w:tc>
          <w:tcPr>
            <w:tcW w:w="1600" w:type="dxa"/>
          </w:tcPr>
          <w:p>
            <w:r>
              <w:t xml:space="preserve">Row 4</w:t>
            </w:r>
          </w:p>
        </w:tc>
        <w:tc>
          <w:tcPr>
            <w:tcW w:w="1000" w:type="dxa"/>
          </w:tcPr>
          <w:p>
            <w:pPr>
              <w:jc w:val="right"/>
            </w:pPr>
            <w:r>
              <w:t xml:space="preserve">277</w:t>
            </w:r>
          </w:p>
        </w:tc>
      </w:tr>
    </w:tbl>
    <w:p>
      <w:r>
        <mc:AlternateContent>
          <mc:Choice Requires="wps">
            <w:drawing>
              <wp:anchor distT="0" distB="0" distL="114300" distR="114300" simplePos="0" relativeHeight="251658243" behindDoc="0" locked="0" layoutInCell="1" allowOverlap="1">
                <wp:simplePos x="0" y="0"/>
                <wp:positionH relativeFrom="column">
                  <wp:posOffset>0</wp:posOffset>
                </wp:positionH>
                <wp:positionV relativeFrom="paragraph">
                  <wp:posOffset>381000</wp:posOffset>
                </wp:positionV>
                <wp:extent cx="1778000" cy="508000"/>
                <wp:effectExtent l="0" t="0" r="0" b="0"/>
                <wp:wrapSquare wrapText="bothSides"/>
                <wp:docPr id="3" name="Shape 3"/>
                <wp:cNvGraphicFramePr/>
                <a:graphic>
                  <a:graphicData uri="http://schemas.microsoft.com/office/word/2010/wordprocessingShape">
                    <wps:wsp>
                      <wps:cNvSpPr txBox="1"/>
                      <wps:spPr>
                        <a:xfrm>
                          <a:off x="0" y="0"/>
                          <a:ext cx="1778000" cy="508000"/>
                        </a:xfrm>
                        <a:prstGeom prst="rect">
                          <a:avLst/>
                        </a:prstGeom>
                        <a:solidFill>
                          <a:srgbClr val="FFF2CC"/>
                        </a:solidFill>
                        <a:ln w="12700">
                          <a:solidFill>
                            <a:srgbClr val="BF9000"/>
                          </a:solidFill>
                        </a:ln>
                      </wps:spPr>
                      <wps:txbx>
                        <w:txbxContent>
                          <w:p>
                            <w:r>
                              <w:t xml:space="preserve">A second box beside the columns.</w:t>
                            </w:r>
                          </w:p>
                        </w:txbxContent>
                      </wps:txbx>
                      <wps:bodyPr rot="0" vert="horz" wrap="square" lIns="91440" tIns="45720" rIns="91440" bIns="45720" anchor="t" anchorCtr="0">
                        <a:noAutofit/>
                      </wps:bodyPr>
                    </wps:wsp>
                  </a:graphicData>
                </a:graphic>
              </wp:anchor>
            </w:drawing>
          </mc:Choice>
          <mc:Fallback>
            <w:pict>
              <v:shape id="tb3" type="#_x0000_t202" style="position:absolute;margin-left:0pt;margin-top:30pt;width:140pt;height:40pt;z-index:3" fillcolor="#FFF2CC" strokecolor="#BF9000">
                <v:textbox>
                  <w:txbxContent>
                    <w:p>
                      <w:r>
                        <w:t xml:space="preserve">A second box beside the columns.</w:t>
                      </w:r>
                    </w:p>
                  </w:txbxContent>
                </v:textbox>
                <w10:wrap type="square"/>
              </v:shape>
            </w:pict>
          </mc:Fallback>
        </mc:AlternateContent>
      </w:r>
    </w:p>
    <w:p>
      <w:r>
        <w:t xml:space="preserve">The falls every within below group limits reference limits the. And reference across rise reference in agrees the so. The so measured the agrees values result report limits taken a lists the reference on result. Group every group result lists below reading within samples limits beside on the with report.</w:t>
      </w:r>
    </w:p>
    <w:p>
      <w:r>
        <w:t xml:space="preserve">Beside method its site reading on every on expected on same beside. Group every outside group across the and same the notes. Within steady each so measured falls and in. Under reading protocol reference so the with site within limits stays summary so.</w:t>
      </w:r>
    </w:p>
    <w:p>
      <w:r>
        <w:t xml:space="preserve">Method agrees the reading agrees where each limits reading. Same with the values stays below within report and so its summary the lists. Expected notes shows measured control same in summary protocol agrees values stays outside agrees reading. Protocol the measured stays falls earlier reading and and.</w:t>
      </w:r>
    </w:p>
    <w:p>
      <w:r>
        <w:t xml:space="preserve">Reading a summary beside its rise within steady earlier. Reading its so group within while the a the stays so in. Within every stays the protocol a each taken. Its steady so falls reading under agrees outside.</w:t>
      </w:r>
    </w:p>
    <w:p>
      <w:r>
        <w:t xml:space="preserve">Result stays so lists agrees limits notes shows shows so a agrees. Measured while where while within outside protocol on while steady steady each method under a. Below and stays measured its the summary each a while reading notes and outside. Work protocol its shows falls and reference lists where stays range beside.</w:t>
      </w:r>
    </w:p>
    <w:p>
      <w:r>
        <w:t xml:space="preserve">Below summary rise reference work the rise every where the. Work reading in outside so the the lists each beside outside each the across a. Same protocol a within values each earlier under where beside the protocol outside. Summary taken the and protocol every while result expected.</w:t>
      </w:r>
    </w:p>
    <w:sectPr>
      <w:headerReference w:type="default" r:id="rId11"/>
      <w:headerReference w:type="first" r:id="rId12"/>
      <w:headerReference w:type="even" r:id="rId13"/>
      <w:footerReference w:type="default" r:id="rId14"/>
      <w:footerReference w:type="first" r:id="rId15"/>
      <w:footerReference w:type="even" r:id="rId16"/>
      <w:type w:val="continuous"/>
      <w:pgSz w:w="12240" w:h="15840"/>
      <w:pgMar w:top="1440" w:right="1440" w:bottom="1440" w:left="1440" w:header="720" w:footer="720" w:gutter="0"/>
      <w:cols w:num="2" w:space="720"/>
      <w:docGrid w:linePitch="360"/>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p>
    <w:pPr>
      <w:pStyle w:val="Footer"/>
      <w:jc w:val="right"/>
    </w:pPr>
    <w:r>
      <w:fldChar w:fldCharType="begin"/>
    </w:r>
    <w:r>
      <w:instrText xml:space="preserve"> PAGE </w:instrText>
    </w:r>
    <w:r>
      <w:fldChar w:fldCharType="separate"/>
    </w:r>
    <w:r>
      <w:t xml:space="preserve">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p>
    <w:pPr>
      <w:pStyle w:val="Footer"/>
    </w:p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p>
    <w:pPr>
      <w:pStyle w:val="Footer"/>
    </w:pPr>
    <w:r>
      <w:fldChar w:fldCharType="begin"/>
    </w:r>
    <w:r>
      <w:instrText xml:space="preserve"> PAGE </w:instrText>
    </w:r>
    <w:r>
      <w:fldChar w:fldCharType="separate"/>
    </w:r>
    <w:r>
      <w:t xml:space="preserve">2</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p>
    <w:pPr>
      <w:pStyle w:val="Header"/>
    </w:pPr>
    <w:r>
      <w:t xml:space="preserve">Floating tables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p>
    <w:pPr>
      <w:pStyle w:val="Header"/>
    </w:pPr>
    <w:r>
      <w:rPr>
        <w:b/>
        <w:bCs/>
      </w:rPr>
      <w:t xml:space="preserve">Report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p>
    <w:pPr>
      <w:pStyle w:val="Header"/>
    </w:pPr>
    <w:r>
      <w:t xml:space="preserve">Even page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abstractNum w:abstractNumId="0">
    <w:multiLevelType w:val="multilevel"/>
    <w:lvl w:ilvl="0">
      <w:start w:val="1"/>
      <w:numFmt w:val="decimal"/>
      <w:lvlText w:val="%1."/>
      <w:lvlJc w:val="left"/>
      <w:pPr>
        <w:ind w:left="36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zoom w:percent="100"/>
  <w:defaultTabStop w:val="720"/>
  <w:characterSpacingControl w:val="doNotCompress"/>
  <w:compat>
    <w:compatSetting w:name="compatibilityMode" w:uri="http://schemas.microsoft.com/office/word" w:val="15"/>
  </w:compat>
  <w:themeFontLang w:val="en-US" w:eastAsia="zh-CN" w:bidi="ar-SA"/>
</w:settings>
</file>

<file path=word/style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style w:type="paragraph" w:default="1" w:styleId="Normal">
    <w:name w:val="Normal"/>
    <w:qFormat/>
    <w:pPr>
      <w:spacing w:after="160" w:line="259" w:lineRule="auto"/>
    </w:pPr>
  </w:style>
  <w:style w:type="paragraph" w:styleId="Heading1">
    <w:name w:val="heading 1"/>
    <w:basedOn w:val="Normal"/>
    <w:qFormat/>
    <w:pPr>
      <w:keepNext/>
      <w:keepLines/>
      <w:spacing w:before="240" w:after="120"/>
      <w:outlineLvl w:val="0"/>
    </w:pPr>
    <w:rPr>
      <w:rFonts w:asciiTheme="majorHAnsi" w:hAnsiTheme="majorHAnsi" w:eastAsiaTheme="majorEastAsia" w:cstheme="majorBidi"/>
      <w:b/>
      <w:color w:val="1F4E79"/>
      <w:sz w:val="32"/>
      <w:szCs w:val="32"/>
    </w:rPr>
  </w:style>
  <w:style w:type="paragraph" w:styleId="Heading2">
    <w:name w:val="heading 2"/>
    <w:basedOn w:val="Normal"/>
    <w:qFormat/>
    <w:pPr>
      <w:keepNext/>
      <w:spacing w:before="200" w:after="80"/>
      <w:outlineLvl w:val="1"/>
    </w:pPr>
    <w:rPr>
      <w:rFonts w:asciiTheme="majorHAnsi" w:hAnsiTheme="majorHAnsi"/>
      <w:b/>
      <w:color w:val="2E74B5"/>
      <w:sz w:val="26"/>
    </w:rPr>
  </w:style>
  <w:style w:type="paragraph" w:styleId="Heading3">
    <w:name w:val="heading 3"/>
    <w:basedOn w:val="Normal"/>
    <w:qFormat/>
    <w:pPr>
      <w:keepNext/>
      <w:spacing w:before="160" w:after="60"/>
      <w:outlineLvl w:val="2"/>
    </w:pPr>
    <w:rPr>
      <w:b/>
      <w:i/>
      <w:color w:val="404040"/>
      <w:sz w:val="24"/>
    </w:rPr>
  </w:style>
  <w:style w:type="paragraph" w:styleId="Title">
    <w:name w:val="Title"/>
    <w:basedOn w:val="Normal"/>
    <w:qFormat/>
    <w:pPr>
      <w:spacing w:after="240"/>
    </w:pPr>
    <w:rPr>
      <w:rFonts w:asciiTheme="majorHAnsi" w:hAnsiTheme="majorHAnsi"/>
      <w:sz w:val="52"/>
      <w:szCs w:val="52"/>
    </w:rPr>
  </w:style>
  <w:style w:type="paragraph" w:styleId="TOC1">
    <w:name w:val="toc 1"/>
    <w:basedOn w:val="Normal"/>
    <w:qFormat/>
    <w:pPr>
      <w:tabs>
        <w:tab w:val="right" w:leader="dot" w:pos="9350"/>
      </w:tabs>
      <w:spacing w:after="80"/>
    </w:pPr>
    <w:rPr>
      <w:b/>
    </w:rPr>
  </w:style>
  <w:style w:type="paragraph" w:styleId="TOC2">
    <w:name w:val="toc 2"/>
    <w:basedOn w:val="Normal"/>
    <w:qFormat/>
    <w:pPr>
      <w:tabs>
        <w:tab w:val="right" w:leader="dot" w:pos="9350"/>
      </w:tabs>
      <w:spacing w:after="60"/>
      <w:ind w:left="220"/>
    </w:pPr>
  </w:style>
  <w:style w:type="paragraph" w:styleId="TOC3">
    <w:name w:val="toc 3"/>
    <w:basedOn w:val="Normal"/>
    <w:qFormat/>
    <w:pPr>
      <w:tabs>
        <w:tab w:val="right" w:leader="dot" w:pos="9350"/>
      </w:tabs>
      <w:spacing w:after="60"/>
      <w:ind w:left="440"/>
    </w:pPr>
    <w:rPr>
      <w:i/>
    </w:rPr>
  </w:style>
  <w:style w:type="paragraph" w:styleId="TOCHeading">
    <w:name w:val="TOC Heading"/>
    <w:basedOn w:val="Heading1"/>
    <w:qFormat/>
    <w:pPr>
      <w:outlineLvl w:val="9"/>
    </w:pPr>
  </w:style>
  <w:style w:type="paragraph" w:styleId="Caption">
    <w:name w:val="caption"/>
    <w:basedOn w:val="Normal"/>
    <w:qFormat/>
    <w:pPr>
      <w:spacing w:after="200"/>
    </w:pPr>
    <w:rPr>
      <w:i/>
      <w:color w:val="44546A"/>
      <w:sz w:val="18"/>
    </w:rPr>
  </w:style>
  <w:style w:type="paragraph" w:styleId="FootnoteText">
    <w:name w:val="footnote text"/>
    <w:basedOn w:val="Normal"/>
    <w:qFormat/>
    <w:pPr>
      <w:spacing w:after="0" w:line="240" w:lineRule="auto"/>
    </w:pPr>
    <w:rPr>
      <w:sz w:val="20"/>
      <w:szCs w:val="20"/>
    </w:rPr>
  </w:style>
  <w:style w:type="paragraph" w:styleId="EndnoteText">
    <w:name w:val="endnote text"/>
    <w:basedOn w:val="Normal"/>
    <w:qFormat/>
    <w:pPr>
      <w:spacing w:after="0" w:line="240" w:lineRule="auto"/>
    </w:pPr>
    <w:rPr>
      <w:sz w:val="20"/>
      <w:szCs w:val="20"/>
    </w:rPr>
  </w:style>
  <w:style w:type="paragraph" w:styleId="Header">
    <w:name w:val="header"/>
    <w:basedOn w:val="Normal"/>
    <w:qFormat/>
    <w:pPr>
      <w:tabs>
        <w:tab w:val="center" w:pos="4680"/>
        <w:tab w:val="right" w:pos="9360"/>
      </w:tabs>
      <w:spacing w:after="0" w:line="240" w:lineRule="auto"/>
    </w:pPr>
  </w:style>
  <w:style w:type="paragraph" w:styleId="Footer">
    <w:name w:val="footer"/>
    <w:basedOn w:val="Normal"/>
    <w:qFormat/>
    <w:pPr>
      <w:tabs>
        <w:tab w:val="center" w:pos="4680"/>
        <w:tab w:val="right" w:pos="9360"/>
      </w:tabs>
      <w:spacing w:after="0" w:line="240" w:lineRule="auto"/>
    </w:pPr>
  </w:style>
  <w:style w:type="paragraph" w:styleId="ListParagraph">
    <w:name w:val="List Paragraph"/>
    <w:basedOn w:val="Normal"/>
    <w:qFormat/>
    <w:pPr>
      <w:ind w:left="720"/>
      <w:contextualSpacing/>
    </w:pPr>
  </w:style>
  <w:style w:type="paragraph" w:styleId="CommentText">
    <w:name w:val="annotation text"/>
    <w:basedOn w:val="Normal"/>
    <w:qFormat/>
    <w:pPr>
      <w:spacing w:line="240" w:lineRule="auto"/>
    </w:pPr>
    <w:rPr>
      <w:sz w:val="20"/>
    </w:rPr>
  </w:style>
  <w:style w:type="paragraph" w:styleId="Bibliography">
    <w:name w:val="Bibliography"/>
    <w:basedOn w:val="Normal"/>
    <w:qFormat/>
    <w:pPr>
      <w:ind w:left="720" w:hanging="720"/>
    </w:pPr>
  </w:style>
  <w:style w:type="character" w:styleId="FootnoteReference">
    <w:name w:val="footnote reference"/>
    <w:qFormat/>
    <w:rPr>
      <w:vertAlign w:val="superscript"/>
    </w:rPr>
  </w:style>
  <w:style w:type="character" w:styleId="EndnoteReference">
    <w:name w:val="endnote reference"/>
    <w:qFormat/>
    <w:rPr>
      <w:vertAlign w:val="superscript"/>
    </w:rPr>
  </w:style>
  <w:style w:type="character" w:styleId="CommentReference">
    <w:name w:val="annotation reference"/>
    <w:qFormat/>
    <w:rPr>
      <w:sz w:val="16"/>
    </w:rPr>
  </w:style>
  <w:style w:type="character" w:styleId="Hyperlink">
    <w:name w:val="Hyperlink"/>
    <w:qFormat/>
    <w:rPr>
      <w:color w:val="0563C1"/>
      <w:u w:val="single"/>
    </w:rPr>
  </w:style>
  <w:style w:type="character" w:styleId="PlaceholderText">
    <w:name w:val="Placeholder Text"/>
    <w:qFormat/>
    <w:rPr>
      <w:color w:val="808080"/>
    </w:r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styles" Target="styles.xml"/><Relationship Id="rId18" Type="http://schemas.openxmlformats.org/officeDocument/2006/relationships/numbering" Target="numbering.xml"/><Relationship Id="rId19" Type="http://schemas.openxmlformats.org/officeDocument/2006/relationships/settings" Target="settings.xml"/><Relationship Id="rId20" Type="http://schemas.openxmlformats.org/officeDocument/2006/relationships/theme" Target="theme/theme1.xml"/></Relationships>
</file>

<file path=word/theme/theme1.xml><?xml version="1.0" encoding="utf-8"?>
<a:theme xmlns:a="http://schemas.openxmlformats.org/drawingml/2006/main" name="Corpus">
  <a:themeElements>
    <a:clrScheme name="Corpus">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orpus">
      <a:majorFont>
        <a:latin typeface="Cambria"/>
        <a:ea typeface=""/>
        <a:cs typeface=""/>
        <a:font script="Hans" typeface="SimSun"/>
        <a:font script="Jpan" typeface="MS Mincho"/>
        <a:font script="Hebr" typeface="Times New Roman"/>
        <a:font script="Arab" typeface="Times New Roman"/>
      </a:majorFont>
      <a:minorFont>
        <a:latin typeface="Calibri"/>
        <a:ea typeface=""/>
        <a:cs typeface=""/>
        <a:font script="Hans" typeface="SimSun"/>
        <a:font script="Jpan" typeface="MS Mincho"/>
        <a:font script="Hebr" typeface="Arial"/>
        <a:font script="Arab" typeface="Arial"/>
      </a:minorFont>
    </a:fontScheme>
    <a:fmtScheme name="Corpus">
      <a:fillStyleLst>
        <a:solidFill>
          <a:schemeClr val="phClr"/>
        </a:solidFill>
        <a:gradFill rotWithShape="1">
          <a:gsLst>
            <a:gs pos="0">
              <a:schemeClr val="phClr">
                <a:tint val="67000"/>
              </a:schemeClr>
            </a:gs>
            <a:gs pos="100000">
              <a:schemeClr val="phClr">
                <a:shade val="94000"/>
              </a:schemeClr>
            </a:gs>
          </a:gsLst>
          <a:lin ang="5400000" scaled="0"/>
        </a:gradFill>
        <a:gradFill rotWithShape="1">
          <a:gsLst>
            <a:gs pos="0">
              <a:schemeClr val="phClr">
                <a:tint val="67000"/>
              </a:schemeClr>
            </a:gs>
            <a:gs pos="100000">
              <a:schemeClr val="phClr">
                <a:shade val="94000"/>
              </a:schemeClr>
            </a:gs>
          </a:gsLst>
          <a:lin ang="5400000" scaled="0"/>
        </a:gradFill>
      </a:fillStyleLst>
      <a:lnStyleLst>
        <a:ln w="6350">
          <a:solidFill>
            <a:schemeClr val="phClr"/>
          </a:solidFill>
        </a:ln>
        <a:ln w="6350">
          <a:solidFill>
            <a:schemeClr val="phClr"/>
          </a:solidFill>
        </a:ln>
        <a:ln w="6350">
          <a:solidFill>
            <a:schemeClr val="phClr"/>
          </a:solidFill>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67000"/>
              </a:schemeClr>
            </a:gs>
            <a:gs pos="100000">
              <a:schemeClr val="phClr">
                <a:shade val="94000"/>
              </a:schemeClr>
            </a:gs>
          </a:gsLst>
          <a:lin ang="5400000" scaled="0"/>
        </a:gradFill>
        <a:gradFill rotWithShape="1">
          <a:gsLst>
            <a:gs pos="0">
              <a:schemeClr val="phClr">
                <a:tint val="67000"/>
              </a:schemeClr>
            </a:gs>
            <a:gs pos="100000">
              <a:schemeClr val="phClr">
                <a:shade val="94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docx-to-pdf corpus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Floating tables in columns</dc:title>
  <dc:creator>docx-to-pdf contributors</dc:creator>
  <dcterms:created xsi:type="dcterms:W3CDTF">2026-01-01T00:00:00Z</dcterms:created>
  <dcterms:modified xsi:type="dcterms:W3CDTF">2026-01-01T00:00:00Z</dcterms:modified>
</cp:coreProperties>
</file>