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pPr>
        <w:spacing w:before="2400"/>
        <w:jc w:val="center"/>
      </w:pPr>
      <w:r>
        <w:rPr>
          <w:b/>
          <w:bCs/>
          <w:sz w:val="48"/>
          <w:szCs w:val="48"/>
        </w:rPr>
        <w:t xml:space="preserve">Studienarbeit</w:t>
      </w:r>
    </w:p>
    <w:p>
      <w:pPr>
        <w:jc w:val="center"/>
      </w:pPr>
      <w:r>
        <w:rPr>
          <w:sz w:val="32"/>
          <w:szCs w:val="32"/>
        </w:rPr>
        <w:t xml:space="preserve">Wärme- und Stoffübertragung an einer beheizten Platte</w:t>
      </w:r>
    </w:p>
    <w:p>
      <w:pPr>
        <w:tabs>
          <w:tab w:val="left" w:pos="2268"/>
        </w:tabs>
        <w:spacing w:before="1200"/>
      </w:pPr>
      <w:r>
        <w:rPr>
          <w:sz w:val="24"/>
          <w:szCs w:val="24"/>
        </w:rPr>
        <w:t xml:space="preserve">Name:</w:t>
        <w:tab/>
        <w:t xml:space="preserve">Max Beispiel</w:t>
        <w:br/>
        <w:t xml:space="preserve">Matrikel:</w:t>
        <w:tab/>
        <w:t xml:space="preserve">1234567</w:t>
        <w:br/>
        <w:t xml:space="preserve">Betreuer:</w:t>
        <w:tab/>
        <w:t xml:space="preserve">Dr.-Ing. Erika Muster</w:t>
      </w:r>
    </w:p>
    <w:p>
      <w:pPr>
        <w:sectPr>
          <w:headerReference w:type="first" r:id="rId11"/>
          <w:headerReference w:type="default" r:id="rId12"/>
          <w:footerReference w:type="first" r:id="rId15"/>
          <w:footerReference w:type="default" r:id="rId14"/>
          <w:pgSz w:w="11906" w:h="16838"/>
          <w:pgMar w:top="1440" w:right="1440" w:bottom="1440" w:left="1440" w:header="720" w:footer="720" w:gutter="0"/>
          <w:cols w:space="720"/>
          <w:titlePg/>
          <w:docGrid w:linePitch="360"/>
        </w:sectPr>
      </w:pPr>
    </w:p>
    <w:p>
      <w:pPr>
        <w:pStyle w:val="Heading1"/>
      </w:pPr>
      <w:r>
        <w:t xml:space="preserve">1 Einleitung</w:t>
      </w:r>
    </w:p>
    <w:p>
      <w:r>
        <w:t xml:space="preserve">Die Messung beginnt am Morgen und endet am späten Nachmittag. Jede Probe wird zweimal gewogen, bevor sie in den Ofen kommt. Für die Auswertung gelten die Grenzwerte der Prüfvorschrift. Abweichungen über fünf Prozent werden im Protokoll begründet.</w:t>
      </w:r>
    </w:p>
    <w:p>
      <w:r>
        <w:t xml:space="preserve">Die </w:t>
      </w:r>
      <w:r>
        <w:rPr>
          <w:smallCaps/>
        </w:rPr>
        <w:t xml:space="preserve">Prüfvorschrift</w:t>
      </w:r>
      <w:commentRangeStart w:id="0"/>
      <w:r>
        <w:t xml:space="preserve"> legt die Grenzwerte fest. </w:t>
      </w:r>
      <w:commentRangeEnd w:id="0"/>
      <w:r>
        <w:rPr>
          <w:rStyle w:val="CommentReference"/>
        </w:rPr>
        <w:commentReference w:id="0"/>
      </w:r>
      <w:r>
        <w:t xml:space="preserve">Jede Probe wird zweimal gewogen, bevor sie in den Ofen kommt. Für die Auswertung gelten die Grenzwerte der Prüfvorschrift. Abweichungen über fünf Prozent werden im Protokoll begründet. Die Ergebnisse stehen im Anhang, geordnet nach Datum und Ort.</w:t>
      </w:r>
    </w:p>
    <w:p>
      <w:r>
        <w:t xml:space="preserve">Für die Auswertung gelten die Grenzwerte der Prüfvorschrift. Abweichungen über fünf Prozent werden im Protokoll begründet. Die Ergebnisse stehen im Anhang, geordnet nach Datum und Ort. Wärmeübertragung und Strömung werden getrennt betrachtet.</w:t>
      </w:r>
    </w:p>
    <w:p>
      <w:r>
        <w:t xml:space="preserve">Abweichungen über fünf Prozent werden im Protokoll begründet. Die Ergebnisse stehen im Anhang, geordnet nach Datum und Ort. Wärmeübertragung und Strömung werden getrennt betrachtet. Die Messung beginnt am Morgen und endet am späten Nachmittag.</w:t>
      </w:r>
    </w:p>
    <w:p>
      <w:pPr>
        <w:tabs>
          <w:tab w:val="left" w:pos="2835"/>
          <w:tab w:val="decimal" w:pos="5103"/>
        </w:tabs>
      </w:pPr>
      <w:r>
        <w:t xml:space="preserve">Größe</w:t>
        <w:tab/>
        <w:t xml:space="preserve">Wert</w:t>
        <w:tab/>
        <w:t xml:space="preserve">Einheit</w:t>
        <w:br/>
        <w:t xml:space="preserve">Temperatur</w:t>
        <w:tab/>
        <w:t xml:space="preserve">39</w:t>
        <w:tab/>
        <w:t xml:space="preserve">°C</w:t>
        <w:br/>
        <w:t xml:space="preserve">Druck</w:t>
        <w:tab/>
        <w:t xml:space="preserve">1,013</w:t>
        <w:tab/>
        <w:t xml:space="preserve">bar</w:t>
      </w:r>
    </w:p>
    <w:p>
      <w:pPr>
        <w:sectPr>
          <w:headerReference w:type="default" r:id="rId12"/>
          <w:footerReference w:type="default" r:id="rId14"/>
          <w:pgSz w:w="11906" w:h="16838"/>
          <w:pgMar w:top="1440" w:right="1440" w:bottom="1440" w:left="1440" w:header="720" w:footer="720" w:gutter="0"/>
          <w:pgNumType w:start="1"/>
          <w:cols w:space="720"/>
          <w:docGrid w:linePitch="360"/>
        </w:sectPr>
      </w:pPr>
    </w:p>
    <w:p>
      <w:pPr>
        <w:pStyle w:val="Heading1"/>
      </w:pPr>
      <w:r>
        <w:t xml:space="preserve">2 Grundlagen</w:t>
      </w:r>
    </w:p>
    <w:p>
      <w:r>
        <w:t xml:space="preserve">Jede Probe wird zweimal gewogen, bevor sie in den Ofen kommt. Für die Auswertung gelten die Grenzwerte der Prüfvorschrift. Abweichungen über fünf Prozent werden im Protokoll begründet. Die Ergebnisse stehen im Anhang, geordnet nach Datum und Ort.</w:t>
      </w:r>
    </w:p>
    <w:p>
      <w:r>
        <w:t xml:space="preserve">Die </w:t>
      </w:r>
      <w:r>
        <w:rPr>
          <w:smallCaps/>
        </w:rPr>
        <w:t xml:space="preserve">Prüfvorschrift</w:t>
      </w:r>
      <w:commentRangeStart w:id="1"/>
      <w:r>
        <w:t xml:space="preserve"> legt die Grenzwerte fest. </w:t>
      </w:r>
      <w:commentRangeEnd w:id="1"/>
      <w:r>
        <w:rPr>
          <w:rStyle w:val="CommentReference"/>
        </w:rPr>
        <w:commentReference w:id="1"/>
      </w:r>
      <w:r>
        <w:t xml:space="preserve">Für die Auswertung gelten die Grenzwerte der Prüfvorschrift. Abweichungen über fünf Prozent werden im Protokoll begründet. Die Ergebnisse stehen im Anhang, geordnet nach Datum und Ort. Wärmeübertragung und Strömung werden getrennt betrachtet.</w:t>
      </w:r>
    </w:p>
    <w:p>
      <w:r>
        <w:t xml:space="preserve">Abweichungen über fünf Prozent werden im Protokoll begründet. Die Ergebnisse stehen im Anhang, geordnet nach Datum und Ort. Wärmeübertragung und Strömung werden getrennt betrachtet. Die Messung beginnt am Morgen und endet am späten Nachmittag.</w:t>
      </w:r>
    </w:p>
    <w:p>
      <w:r>
        <w:t xml:space="preserve">Die Ergebnisse stehen im Anhang, geordnet nach Datum und Ort. Wärmeübertragung und Strömung werden getrennt betrachtet. Die Messung beginnt am Morgen und endet am späten Nachmittag. Jede Probe wird zweimal gewogen, bevor sie in den Ofen kommt.</w:t>
      </w:r>
    </w:p>
    <w:p>
      <w:r>
        <w:t xml:space="preserve">Wärmeübertragung und Strömung werden getrennt betrachtet. Die Messung beginnt am Morgen und endet am späten Nachmittag. Jede Probe wird zweimal gewogen, bevor sie in den Ofen kommt. Für die Auswertung gelten die Grenzwerte der Prüfvorschrift.</w:t>
      </w:r>
    </w:p>
    <w:p>
      <w:pPr>
        <w:tabs>
          <w:tab w:val="left" w:pos="2835"/>
          <w:tab w:val="decimal" w:pos="5103"/>
        </w:tabs>
      </w:pPr>
      <w:r>
        <w:t xml:space="preserve">Größe</w:t>
        <w:tab/>
        <w:t xml:space="preserve">Wert</w:t>
        <w:tab/>
        <w:t xml:space="preserve">Einheit</w:t>
        <w:br/>
        <w:t xml:space="preserve">Temperatur</w:t>
        <w:tab/>
        <w:t xml:space="preserve">67</w:t>
        <w:tab/>
        <w:t xml:space="preserve">°C</w:t>
        <w:br/>
        <w:t xml:space="preserve">Druck</w:t>
        <w:tab/>
        <w:t xml:space="preserve">1,013</w:t>
        <w:tab/>
        <w:t xml:space="preserve">bar</w:t>
      </w:r>
    </w:p>
    <w:p>
      <w:pPr>
        <w:sectPr>
          <w:headerReference w:type="default" r:id="rId13"/>
          <w:footerReference w:type="default" r:id="rId14"/>
          <w:pgSz w:w="11906" w:h="16838"/>
          <w:pgMar w:top="1440" w:right="1440" w:bottom="1440" w:left="1440" w:header="720" w:footer="720" w:gutter="0"/>
          <w:cols w:space="720"/>
          <w:docGrid w:linePitch="360"/>
        </w:sectPr>
      </w:pPr>
    </w:p>
    <w:p>
      <w:pPr>
        <w:pStyle w:val="Heading1"/>
      </w:pPr>
      <w:r>
        <w:t xml:space="preserve">3 Versuchsaufbau</w:t>
      </w:r>
    </w:p>
    <w:p>
      <w:r>
        <w:t xml:space="preserve">Für die Auswertung gelten die Grenzwerte der Prüfvorschrift. Abweichungen über fünf Prozent werden im Protokoll begründet. Die Ergebnisse stehen im Anhang, geordnet nach Datum und Ort. Wärmeübertragung und Strömung werden getrennt betrachtet.</w:t>
      </w:r>
    </w:p>
    <w:p>
      <w:r>
        <w:t xml:space="preserve">Die </w:t>
      </w:r>
      <w:r>
        <w:rPr>
          <w:smallCaps/>
        </w:rPr>
        <w:t xml:space="preserve">Prüfvorschrift</w:t>
      </w:r>
      <w:commentRangeStart w:id="2"/>
      <w:r>
        <w:t xml:space="preserve"> legt die Grenzwerte fest. </w:t>
      </w:r>
      <w:commentRangeEnd w:id="2"/>
      <w:r>
        <w:rPr>
          <w:rStyle w:val="CommentReference"/>
        </w:rPr>
        <w:commentReference w:id="2"/>
      </w:r>
      <w:r>
        <w:t xml:space="preserve">Abweichungen über fünf Prozent werden im Protokoll begründet. Die Ergebnisse stehen im Anhang, geordnet nach Datum und Ort. Wärmeübertragung und Strömung werden getrennt betrachtet. Die Messung beginnt am Morgen und endet am späten Nachmittag.</w:t>
      </w:r>
    </w:p>
    <w:p>
      <w:r>
        <w:t xml:space="preserve">Die Ergebnisse stehen im Anhang, geordnet nach Datum und Ort. Wärmeübertragung und Strömung werden getrennt betrachtet. Die Messung beginnt am Morgen und endet am späten Nachmittag. Jede Probe wird zweimal gewogen, bevor sie in den Ofen kommt.</w:t>
      </w:r>
    </w:p>
    <w:p>
      <w:r>
        <w:t xml:space="preserve">Wärmeübertragung und Strömung werden getrennt betrachtet. Die Messung beginnt am Morgen und endet am späten Nachmittag. Jede Probe wird zweimal gewogen, bevor sie in den Ofen kommt. Für die Auswertung gelten die Grenzwerte der Prüfvorschrift.</w:t>
      </w:r>
    </w:p>
    <w:p>
      <w:r>
        <w:t xml:space="preserve">Die Messung beginnt am Morgen und endet am späten Nachmittag. Jede Probe wird zweimal gewogen, bevor sie in den Ofen kommt. Für die Auswertung gelten die Grenzwerte der Prüfvorschrift. Abweichungen über fünf Prozent werden im Protokoll begründet.</w:t>
      </w:r>
    </w:p>
    <w:p>
      <w:pPr>
        <w:tabs>
          <w:tab w:val="left" w:pos="2835"/>
          <w:tab w:val="decimal" w:pos="5103"/>
        </w:tabs>
      </w:pPr>
      <w:r>
        <w:t xml:space="preserve">Größe</w:t>
        <w:tab/>
        <w:t xml:space="preserve">Wert</w:t>
        <w:tab/>
        <w:t xml:space="preserve">Einheit</w:t>
        <w:br/>
        <w:t xml:space="preserve">Temperatur</w:t>
        <w:tab/>
        <w:t xml:space="preserve">74</w:t>
        <w:tab/>
        <w:t xml:space="preserve">°C</w:t>
        <w:br/>
        <w:t xml:space="preserve">Druck</w:t>
        <w:tab/>
        <w:t xml:space="preserve">1,013</w:t>
        <w:tab/>
        <w:t xml:space="preserve">bar</w:t>
      </w:r>
    </w:p>
    <w:p>
      <w:pPr>
        <w:sectPr>
          <w:headerReference w:type="default" r:id="rId12"/>
          <w:footerReference w:type="default" r:id="rId14"/>
          <w:pgSz w:w="11906" w:h="16838"/>
          <w:pgMar w:top="1440" w:right="1440" w:bottom="1440" w:left="1440" w:header="720" w:footer="720" w:gutter="0"/>
          <w:cols w:space="720"/>
          <w:docGrid w:linePitch="360"/>
        </w:sectPr>
      </w:pPr>
    </w:p>
    <w:p>
      <w:pPr>
        <w:pStyle w:val="Heading1"/>
      </w:pPr>
      <w:r>
        <w:t xml:space="preserve">4 Ergebnisse</w:t>
      </w:r>
    </w:p>
    <w:p>
      <w:r>
        <w:t xml:space="preserve">Abweichungen über fünf Prozent werden im Protokoll begründet. Die Ergebnisse stehen im Anhang, geordnet nach Datum und Ort. Wärmeübertragung und Strömung werden getrennt betrachtet. Die Messung beginnt am Morgen und endet am späten Nachmittag.</w:t>
      </w:r>
    </w:p>
    <w:p>
      <w:r>
        <w:t xml:space="preserve">Die </w:t>
      </w:r>
      <w:r>
        <w:rPr>
          <w:smallCaps/>
        </w:rPr>
        <w:t xml:space="preserve">Prüfvorschrift</w:t>
      </w:r>
      <w:commentRangeStart w:id="3"/>
      <w:r>
        <w:t xml:space="preserve"> legt die Grenzwerte fest. </w:t>
      </w:r>
      <w:commentRangeEnd w:id="3"/>
      <w:r>
        <w:rPr>
          <w:rStyle w:val="CommentReference"/>
        </w:rPr>
        <w:commentReference w:id="3"/>
      </w:r>
      <w:r>
        <w:t xml:space="preserve">Die Ergebnisse stehen im Anhang, geordnet nach Datum und Ort. Wärmeübertragung und Strömung werden getrennt betrachtet. Die Messung beginnt am Morgen und endet am späten Nachmittag. Jede Probe wird zweimal gewogen, bevor sie in den Ofen kommt.</w:t>
      </w:r>
    </w:p>
    <w:p>
      <w:r>
        <w:t xml:space="preserve">Wärmeübertragung und Strömung werden getrennt betrachtet. Die Messung beginnt am Morgen und endet am späten Nachmittag. Jede Probe wird zweimal gewogen, bevor sie in den Ofen kommt. Für die Auswertung gelten die Grenzwerte der Prüfvorschrift.</w:t>
      </w:r>
    </w:p>
    <w:p>
      <w:r>
        <w:t xml:space="preserve">Die Messung beginnt am Morgen und endet am späten Nachmittag. Jede Probe wird zweimal gewogen, bevor sie in den Ofen kommt. Für die Auswertung gelten die Grenzwerte der Prüfvorschrift. Abweichungen über fünf Prozent werden im Protokoll begründet.</w:t>
      </w:r>
    </w:p>
    <w:p>
      <w:r>
        <w:t xml:space="preserve">Jede Probe wird zweimal gewogen, bevor sie in den Ofen kommt. Für die Auswertung gelten die Grenzwerte der Prüfvorschrift. Abweichungen über fünf Prozent werden im Protokoll begründet. Die Ergebnisse stehen im Anhang, geordnet nach Datum und Ort.</w:t>
      </w:r>
    </w:p>
    <w:p>
      <w:pPr>
        <w:tabs>
          <w:tab w:val="left" w:pos="2835"/>
          <w:tab w:val="decimal" w:pos="5103"/>
        </w:tabs>
      </w:pPr>
      <w:r>
        <w:t xml:space="preserve">Größe</w:t>
        <w:tab/>
        <w:t xml:space="preserve">Wert</w:t>
        <w:tab/>
        <w:t xml:space="preserve">Einheit</w:t>
        <w:br/>
        <w:t xml:space="preserve">Temperatur</w:t>
        <w:tab/>
        <w:t xml:space="preserve">32</w:t>
        <w:tab/>
        <w:t xml:space="preserve">°C</w:t>
        <w:br/>
        <w:t xml:space="preserve">Druck</w:t>
        <w:tab/>
        <w:t xml:space="preserve">1,013</w:t>
        <w:tab/>
        <w:t xml:space="preserve">bar</w:t>
      </w:r>
    </w:p>
    <w:p>
      <w:pPr>
        <w:sectPr>
          <w:headerReference w:type="default" r:id="rId13"/>
          <w:footerReference w:type="default" r:id="rId14"/>
          <w:pgSz w:w="11906" w:h="16838"/>
          <w:pgMar w:top="1440" w:right="1440" w:bottom="1440" w:left="1440" w:header="720" w:footer="720" w:gutter="0"/>
          <w:cols w:space="720"/>
          <w:docGrid w:linePitch="360"/>
        </w:sectPr>
      </w:pPr>
    </w:p>
    <w:p>
      <w:pPr>
        <w:pStyle w:val="Heading1"/>
      </w:pPr>
      <w:r>
        <w:t xml:space="preserve">5 Zusammenfassung</w:t>
      </w:r>
    </w:p>
    <w:p>
      <w:r>
        <w:t xml:space="preserve">Die Ergebnisse stehen im Anhang, geordnet nach Datum und Ort. Wärmeübertragung und Strömung werden getrennt betrachtet. Die Messung beginnt am Morgen und endet am späten Nachmittag. Jede Probe wird zweimal gewogen, bevor sie in den Ofen kommt.</w:t>
      </w:r>
    </w:p>
    <w:p>
      <w:r>
        <w:t xml:space="preserve">Die </w:t>
      </w:r>
      <w:r>
        <w:rPr>
          <w:smallCaps/>
        </w:rPr>
        <w:t xml:space="preserve">Prüfvorschrift</w:t>
      </w:r>
      <w:commentRangeStart w:id="4"/>
      <w:r>
        <w:t xml:space="preserve"> legt die Grenzwerte fest. </w:t>
      </w:r>
      <w:commentRangeEnd w:id="4"/>
      <w:r>
        <w:rPr>
          <w:rStyle w:val="CommentReference"/>
        </w:rPr>
        <w:commentReference w:id="4"/>
      </w:r>
      <w:r>
        <w:t xml:space="preserve">Wärmeübertragung und Strömung werden getrennt betrachtet. Die Messung beginnt am Morgen und endet am späten Nachmittag. Jede Probe wird zweimal gewogen, bevor sie in den Ofen kommt. Für die Auswertung gelten die Grenzwerte der Prüfvorschrift.</w:t>
      </w:r>
    </w:p>
    <w:p>
      <w:r>
        <w:t xml:space="preserve">Die Messung beginnt am Morgen und endet am späten Nachmittag. Jede Probe wird zweimal gewogen, bevor sie in den Ofen kommt. Für die Auswertung gelten die Grenzwerte der Prüfvorschrift. Abweichungen über fünf Prozent werden im Protokoll begründet.</w:t>
      </w:r>
    </w:p>
    <w:p>
      <w:r>
        <w:t xml:space="preserve">Jede Probe wird zweimal gewogen, bevor sie in den Ofen kommt. Für die Auswertung gelten die Grenzwerte der Prüfvorschrift. Abweichungen über fünf Prozent werden im Protokoll begründet. Die Ergebnisse stehen im Anhang, geordnet nach Datum und Ort.</w:t>
      </w:r>
    </w:p>
    <w:p>
      <w:pPr>
        <w:tabs>
          <w:tab w:val="left" w:pos="2835"/>
          <w:tab w:val="decimal" w:pos="5103"/>
        </w:tabs>
      </w:pPr>
      <w:r>
        <w:t xml:space="preserve">Größe</w:t>
        <w:tab/>
        <w:t xml:space="preserve">Wert</w:t>
        <w:tab/>
        <w:t xml:space="preserve">Einheit</w:t>
        <w:br/>
        <w:t xml:space="preserve">Temperatur</w:t>
        <w:tab/>
        <w:t xml:space="preserve">64</w:t>
        <w:tab/>
        <w:t xml:space="preserve">°C</w:t>
        <w:br/>
        <w:t xml:space="preserve">Druck</w:t>
        <w:tab/>
        <w:t xml:space="preserve">1,013</w:t>
        <w:tab/>
        <w:t xml:space="preserve">bar</w:t>
      </w:r>
    </w:p>
    <w:sectPr>
      <w:headerReference w:type="default" r:id="rId12"/>
      <w:footerReference w:type="default" r:id="rId14"/>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comment w:id="0" w:author="Reviewer One" w:date="2026-01-01T00:00:00Z" w:initials="RO">
    <w:p w14:paraId="10000000" w14:textId="77777777">
      <w:pPr>
        <w:pStyle w:val="CommentText"/>
      </w:pPr>
      <w:r>
        <w:rPr>
          <w:rStyle w:val="CommentReference"/>
        </w:rPr>
        <w:annotationRef/>
      </w:r>
      <w:r>
        <w:t xml:space="preserve">Bitte die Quelle der Grenzwerte angeben.</w:t>
      </w:r>
    </w:p>
  </w:comment>
  <w:comment w:id="1" w:author="Reviewer One" w:date="2026-01-01T00:00:00Z" w:initials="RO">
    <w:p w14:paraId="10000001" w14:textId="77777777">
      <w:pPr>
        <w:pStyle w:val="CommentText"/>
      </w:pPr>
      <w:r>
        <w:rPr>
          <w:rStyle w:val="CommentReference"/>
        </w:rPr>
        <w:annotationRef/>
      </w:r>
      <w:r>
        <w:t xml:space="preserve">Bitte die Quelle der Grenzwerte angeben.</w:t>
      </w:r>
    </w:p>
  </w:comment>
  <w:comment w:id="2" w:author="Reviewer One" w:date="2026-01-01T00:00:00Z" w:initials="RO">
    <w:p w14:paraId="10000002" w14:textId="77777777">
      <w:pPr>
        <w:pStyle w:val="CommentText"/>
      </w:pPr>
      <w:r>
        <w:rPr>
          <w:rStyle w:val="CommentReference"/>
        </w:rPr>
        <w:annotationRef/>
      </w:r>
      <w:r>
        <w:t xml:space="preserve">Bitte die Quelle der Grenzwerte angeben.</w:t>
      </w:r>
    </w:p>
  </w:comment>
  <w:comment w:id="3" w:author="Reviewer One" w:date="2026-01-01T00:00:00Z" w:initials="RO">
    <w:p w14:paraId="10000003" w14:textId="77777777">
      <w:pPr>
        <w:pStyle w:val="CommentText"/>
      </w:pPr>
      <w:r>
        <w:rPr>
          <w:rStyle w:val="CommentReference"/>
        </w:rPr>
        <w:annotationRef/>
      </w:r>
      <w:r>
        <w:t xml:space="preserve">Bitte die Quelle der Grenzwerte angeben.</w:t>
      </w:r>
    </w:p>
  </w:comment>
  <w:comment w:id="4" w:author="Reviewer One" w:date="2026-01-01T00:00:00Z" w:initials="RO">
    <w:p w14:paraId="10000004" w14:textId="77777777">
      <w:pPr>
        <w:pStyle w:val="CommentText"/>
      </w:pPr>
      <w:r>
        <w:rPr>
          <w:rStyle w:val="CommentReference"/>
        </w:rPr>
        <w:annotationRef/>
      </w:r>
      <w:r>
        <w:t xml:space="preserve">Bitte die Quelle der Grenzwerte angeben.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15:commentEx w15:paraId="10000000" w15:done="0"/>
  <w15:commentEx w15:paraId="10000001" w15:done="1"/>
  <w15:commentEx w15:paraId="10000002" w15:done="0"/>
  <w15:commentEx w15:paraId="10000003" w15:done="1"/>
  <w15:commentEx w15:paraId="10000004" w15:done="0"/>
</w15:commentsEx>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pPr>
    <w:r>
      <w:t xml:space="preserve">Studienarbeit</w:t>
      <w:tab/>
      <w:tab/>
    </w:r>
    <w:r>
      <w:fldChar w:fldCharType="begin"/>
    </w:r>
    <w:r>
      <w:instrText xml:space="preserve"> PAGE </w:instrText>
    </w:r>
    <w:r>
      <w:fldChar w:fldCharType="separate"/>
    </w:r>
    <w:r>
      <w:t xml:space="preserve">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pPr>
    <w:r>
      <w:rPr>
        <w:sz w:val="18"/>
        <w:szCs w:val="18"/>
      </w:rPr>
      <w:t xml:space="preserve">Dresden, im Januar</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jc w:val="right"/>
    </w:pPr>
    <w:r>
      <w:pict>
        <v:shape id="vt1" type="#_x0000_t202" style="position:absolute;margin-left:0pt;margin-top:0pt;width:250pt;height:54pt;z-index:1;mso-position-horizontal-relative:margin;mso-position-vertical-relative:paragraph" fillcolor="#FFFFFF" strokecolor="#4F6228">
          <v:textbox>
            <w:txbxContent>
              <w:p>
                <w:pPr>
                  <w:pStyle w:val="Institut"/>
                </w:pPr>
                <w:r>
                  <w:rPr>
                    <w:b/>
                    <w:bCs/>
                  </w:rPr>
                  <w:t xml:space="preserve">Fakultät Maschinenwesen</w:t>
                </w:r>
              </w:p>
              <w:p>
                <w:pPr>
                  <w:pStyle w:val="Institut"/>
                </w:pPr>
                <w:r>
                  <w:t xml:space="preserve">Institut für Energietechnik</w:t>
                </w:r>
              </w:p>
              <w:p>
                <w:pPr>
                  <w:pStyle w:val="Institut"/>
                </w:pPr>
                <w:r>
                  <w:t xml:space="preserve">Professur für Verbrennung, Wärme- und Stoffübertragung</w:t>
                </w:r>
              </w:p>
            </w:txbxContent>
          </v:textbox>
          <w10:wrap type="square"/>
        </v:shape>
      </w:pict>
    </w:r>
    <w:r>
      <w:pict>
        <v:shape id="vp2" type="#_x0000_t75" style="width:90pt;height:54pt">
          <v:imagedata r:id="rId10" o:title=""/>
        </v:shape>
      </w:pict>
    </w:r>
  </w:p>
  <w:p>
    <w:pPr>
      <w:pStyle w:val="Header"/>
    </w:pPr>
    <w:r>
      <w:rPr>
        <w:smallCaps/>
        <w:sz w:val="16"/>
        <w:szCs w:val="16"/>
      </w:rPr>
      <w:t xml:space="preserve">Postadresse:</w:t>
      <w:tab/>
      <w:t xml:space="preserve">Besucheradresse: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rPr>
        <w:i/>
        <w:iCs/>
        <w:sz w:val="18"/>
        <w:szCs w:val="18"/>
      </w:rPr>
      <w:fldChar w:fldCharType="begin"/>
    </w:r>
    <w:r>
      <w:rPr>
        <w:i/>
        <w:iCs/>
        <w:sz w:val="18"/>
        <w:szCs w:val="18"/>
      </w:rPr>
      <w:instrText xml:space="preserve"> STYLEREF "Heading 1" \* MERGEFORMAT </w:instrText>
    </w:r>
    <w:r>
      <w:rPr>
        <w:i/>
        <w:iCs/>
        <w:sz w:val="18"/>
        <w:szCs w:val="18"/>
      </w:rPr>
      <w:fldChar w:fldCharType="separate"/>
    </w:r>
    <w:r>
      <w:rPr>
        <w:i/>
        <w:iCs/>
        <w:sz w:val="18"/>
        <w:szCs w:val="18"/>
      </w:rPr>
      <w:t xml:space="preserve">Einleitung</w:t>
    </w:r>
    <w:r>
      <w:rPr>
        <w:i/>
        <w:iCs/>
        <w:sz w:val="18"/>
        <w:szCs w:val="18"/>
      </w:rPr>
      <w:fldChar w:fldCharType="end"/>
    </w:r>
    <w:r>
      <w:rPr>
        <w:i/>
        <w:iCs/>
        <w:sz w:val="18"/>
        <w:szCs w:val="18"/>
      </w:rPr>
      <w:tab/>
      <w:t xml:space="preserve">Seite </w:t>
    </w:r>
    <w:r>
      <w:rPr>
        <w:i/>
        <w:iCs/>
        <w:sz w:val="18"/>
        <w:szCs w:val="18"/>
      </w:rPr>
      <w:fldChar w:fldCharType="begin"/>
    </w:r>
    <w:r>
      <w:rPr>
        <w:i/>
        <w:iCs/>
        <w:sz w:val="18"/>
        <w:szCs w:val="18"/>
      </w:rPr>
      <w:instrText xml:space="preserve"> PAGE </w:instrText>
    </w:r>
    <w:r>
      <w:rPr>
        <w:i/>
        <w:iCs/>
        <w:sz w:val="18"/>
        <w:szCs w:val="18"/>
      </w:rPr>
      <w:fldChar w:fldCharType="separate"/>
    </w:r>
    <w:r>
      <w:rPr>
        <w:i/>
        <w:iCs/>
        <w:sz w:val="18"/>
        <w:szCs w:val="18"/>
      </w:rPr>
      <w:t xml:space="preserve">2</w:t>
    </w:r>
    <w:r>
      <w:rPr>
        <w:i/>
        <w:iCs/>
        <w:sz w:val="18"/>
        <w:szCs w:val="18"/>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rPr>
        <w:smallCaps/>
        <w:sz w:val="18"/>
        <w:szCs w:val="18"/>
      </w:rPr>
      <w:t xml:space="preserve">Technische Universität · Studienarbeit</w:t>
    </w:r>
    <w:r>
      <w:pict>
        <v:rect id="band" style="position:absolute;margin-left:-20pt;margin-top:-8pt;width:500pt;height:4pt;z-index:-1" fillcolor="#1F4E79" stroked="f"/>
      </w:pict>
    </w:r>
    <w:r>
      <w:pict>
        <v:oval id="dot" style="position:absolute;margin-left:470pt;margin-top:-14pt;width:14pt;height:14pt" fillcolor="#ED7D31" stroked="f"/>
      </w:pic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15:person w15:author="Reviewer One">
    <w15:presenceInfo w15:providerId="None" w15:userId="Reviewer One"/>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paragraph" w:styleId="Institut">
    <w:name w:val="Institut"/>
    <w:basedOn w:val="Normal"/>
    <w:qFormat/>
    <w:pPr>
      <w:spacing w:after="0"/>
    </w:pPr>
    <w:rPr>
      <w:smallCaps/>
      <w:color w:val="1F4E79"/>
      <w:sz w:val="18"/>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image" Target="media/image1.wmf"/><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styles" Target="styles.xml"/><Relationship Id="rId17" Type="http://schemas.openxmlformats.org/officeDocument/2006/relationships/comments" Target="comments.xml"/><Relationship Id="rId18" Type="http://schemas.microsoft.com/office/2011/relationships/commentsExtended" Target="commentsExtended.xml"/><Relationship Id="rId19" Type="http://schemas.microsoft.com/office/2011/relationships/people" Target="people.xml"/><Relationship Id="rId20" Type="http://schemas.openxmlformats.org/officeDocument/2006/relationships/settings" Target="settings.xml"/><Relationship Id="rId21" Type="http://schemas.openxmlformats.org/officeDocument/2006/relationships/theme" Target="theme/theme1.xml"/></Relationships>
</file>

<file path=word/_rels/header1.xml.rels><?xml version="1.0" encoding="UTF-8" standalone="yes"?>
<Relationships xmlns="http://schemas.openxmlformats.org/package/2006/relationships"><Relationship Id="rId10" Type="http://schemas.openxmlformats.org/officeDocument/2006/relationships/image" Target="media/image1.wmf"/></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Studienarbeit: Wärmeübertragung</dc:title>
  <dc:creator>docx-to-pdf contributors</dc:creator>
  <dcterms:created xsi:type="dcterms:W3CDTF">2026-01-01T00:00:00Z</dcterms:created>
  <dcterms:modified xsi:type="dcterms:W3CDTF">2026-01-01T00:00:00Z</dcterms:modified>
</cp:coreProperties>
</file>