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body>
    <w:p>
      <w:pPr>
        <w:jc w:val="center"/>
      </w:pPr>
      <w:r>
        <w:rPr>
          <w:b/>
          <w:bCs/>
          <w:caps/>
          <w:sz w:val="32"/>
          <w:szCs w:val="32"/>
        </w:rPr>
        <w:t xml:space="preserve">Patienteninformation</w:t>
      </w:r>
    </w:p>
    <w:p>
      <w:pPr>
        <w:pBdr>
          <w:bottom w:val="single" w:sz="8" w:space="0" w:color="000000"/>
        </w:pBdr>
        <w:jc w:val="center"/>
      </w:pPr>
      <w:r>
        <w:rPr>
          <w:caps/>
          <w:sz w:val="22"/>
          <w:szCs w:val="22"/>
        </w:rPr>
        <w:t xml:space="preserve">Informationsblatt und Einwilligungserklärung zur Teilnahme an einer klinischen Studie</w:t>
      </w:r>
    </w:p>
    <w:p>
      <w:r>
        <mc:AlternateContent>
          <mc:Choice Requires="wps">
            <w:drawing>
              <wp:anchor distT="0" distB="0" distL="114300" distR="114300" simplePos="0" relativeHeight="251658241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0</wp:posOffset>
                </wp:positionV>
                <wp:extent cx="1524000" cy="508000"/>
                <wp:effectExtent l="0" t="0" r="0" b="0"/>
                <wp:wrapSquare wrapText="bothSides"/>
                <wp:docPr id="1" name="Shape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5080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>
                          <a:solidFill>
                            <a:srgbClr val="7F7F7F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b/>
                                <w:bCs/>
                              </w:rPr>
                              <w:t xml:space="preserve">Studiencode</w:t>
                            </w:r>
                          </w:p>
                          <w:p>
                            <w:r>
                              <w:t xml:space="preserve">xx-0000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b1" type="#_x0000_t202" style="position:absolute;margin-left:360pt;margin-top:0pt;width:120pt;height:40pt;z-index:1" fillcolor="#F2F2F2" strokecolor="#7F7F7F">
                <v:textbox>
                  <w:txbxContent>
                    <w:p>
                      <w:r>
                        <w:rPr>
                          <w:b/>
                          <w:bCs/>
                        </w:rPr>
                        <w:t xml:space="preserve">Studiencode</w:t>
                      </w:r>
                    </w:p>
                    <w:p>
                      <w:r>
                        <w:t xml:space="preserve">xx-0000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016000" cy="508000"/>
                <wp:effectExtent l="0" t="0" r="0" b="0"/>
                <wp:wrapSquare wrapText="bothSides"/>
                <wp:docPr id="2" name="Shap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>
                          <a:solidFill>
                            <a:srgbClr val="7F7F7F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b/>
                                <w:bCs/>
                              </w:rPr>
                              <w:t xml:space="preserve">Version</w:t>
                            </w:r>
                          </w:p>
                          <w:p>
                            <w:r>
                              <w:t xml:space="preserve"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b2" type="#_x0000_t202" style="position:absolute;margin-left:0pt;margin-top:0pt;width:80pt;height:40pt;z-index:2" fillcolor="#F2F2F2" strokecolor="#7F7F7F">
                <v:textbox>
                  <w:txbxContent>
                    <w:p>
                      <w:r>
                        <w:rPr>
                          <w:b/>
                          <w:bCs/>
                        </w:rPr>
                        <w:t xml:space="preserve">Version</w:t>
                      </w:r>
                    </w:p>
                    <w:p>
                      <w:r>
                        <w:t xml:space="preserve">1.0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______________________________________________________________________</w:t>
      </w:r>
    </w:p>
    <w:p>
      <w:pPr>
        <w:pStyle w:val="TOCHeading"/>
      </w:pPr>
      <w:r>
        <w:t xml:space="preserve">INHALT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00" w:history="1">
        <w:r>
          <w:rPr>
            <w:rStyle w:val="Hyperlink"/>
          </w:rPr>
          <w:t xml:space="preserve">1. ORGANISATION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_Toc2000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2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3000" w:history="1">
        <w:r>
          <w:rPr>
            <w:rStyle w:val="Hyperlink"/>
          </w:rPr>
          <w:t xml:space="preserve">1.1 Abschnitt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_Toc3000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2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3001" w:history="1">
        <w:r>
          <w:rPr>
            <w:rStyle w:val="Hyperlink"/>
          </w:rPr>
          <w:t xml:space="preserve">1.2 Abschnitt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_Toc3001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2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3002" w:history="1">
        <w:r>
          <w:rPr>
            <w:rStyle w:val="Hyperlink"/>
          </w:rPr>
          <w:t xml:space="preserve">1.3 Abschnitt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_Toc3002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2</w:t>
        </w:r>
        <w:r>
          <w:rPr>
            <w:webHidden/>
          </w:rPr>
          <w:fldChar w:fldCharType="end"/>
        </w:r>
      </w:hyperlink>
    </w:p>
    <w:p>
      <w:pPr>
        <w:pStyle w:val="TOC1"/>
      </w:pPr>
      <w:hyperlink w:anchor="_Toc2001" w:history="1">
        <w:r>
          <w:rPr>
            <w:rStyle w:val="Hyperlink"/>
          </w:rPr>
          <w:t xml:space="preserve">2. ZIEL DER STUDIE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_Toc2001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2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3010" w:history="1">
        <w:r>
          <w:rPr>
            <w:rStyle w:val="Hyperlink"/>
          </w:rPr>
          <w:t xml:space="preserve">2.1 Abschnitt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_Toc3010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2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3011" w:history="1">
        <w:r>
          <w:rPr>
            <w:rStyle w:val="Hyperlink"/>
          </w:rPr>
          <w:t xml:space="preserve">2.2 Abschnitt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_Toc3011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2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3012" w:history="1">
        <w:r>
          <w:rPr>
            <w:rStyle w:val="Hyperlink"/>
          </w:rPr>
          <w:t xml:space="preserve">2.3 Abschnitt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_Toc3012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2</w:t>
        </w:r>
        <w:r>
          <w:rPr>
            <w:webHidden/>
          </w:rPr>
          <w:fldChar w:fldCharType="end"/>
        </w:r>
      </w:hyperlink>
    </w:p>
    <w:p>
      <w:pPr>
        <w:pStyle w:val="TOC1"/>
      </w:pPr>
      <w:hyperlink w:anchor="_Toc2002" w:history="1">
        <w:r>
          <w:rPr>
            <w:rStyle w:val="Hyperlink"/>
          </w:rPr>
          <w:t xml:space="preserve">3. ABLAUF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_Toc2002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2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3020" w:history="1">
        <w:r>
          <w:rPr>
            <w:rStyle w:val="Hyperlink"/>
          </w:rPr>
          <w:t xml:space="preserve">3.1 Abschnitt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_Toc3020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2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3021" w:history="1">
        <w:r>
          <w:rPr>
            <w:rStyle w:val="Hyperlink"/>
          </w:rPr>
          <w:t xml:space="preserve">3.2 Abschnitt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_Toc3021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2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3022" w:history="1">
        <w:r>
          <w:rPr>
            <w:rStyle w:val="Hyperlink"/>
          </w:rPr>
          <w:t xml:space="preserve">3.3 Abschnitt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_Toc3022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2</w:t>
        </w:r>
        <w:r>
          <w:rPr>
            <w:webHidden/>
          </w:rPr>
          <w:fldChar w:fldCharType="end"/>
        </w:r>
      </w:hyperlink>
    </w:p>
    <w:p>
      <w:pPr>
        <w:pStyle w:val="TOC1"/>
      </w:pPr>
      <w:hyperlink w:anchor="_Toc2003" w:history="1">
        <w:r>
          <w:rPr>
            <w:rStyle w:val="Hyperlink"/>
          </w:rPr>
          <w:t xml:space="preserve">4. RISIKEN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_Toc2003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2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3030" w:history="1">
        <w:r>
          <w:rPr>
            <w:rStyle w:val="Hyperlink"/>
          </w:rPr>
          <w:t xml:space="preserve">4.1 Abschnitt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_Toc3030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2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3031" w:history="1">
        <w:r>
          <w:rPr>
            <w:rStyle w:val="Hyperlink"/>
          </w:rPr>
          <w:t xml:space="preserve">4.2 Abschnitt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_Toc3031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2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3032" w:history="1">
        <w:r>
          <w:rPr>
            <w:rStyle w:val="Hyperlink"/>
          </w:rPr>
          <w:t xml:space="preserve">4.3 Abschnitt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_Toc3032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2</w:t>
        </w:r>
        <w:r>
          <w:rPr>
            <w:webHidden/>
          </w:rPr>
          <w:fldChar w:fldCharType="end"/>
        </w:r>
      </w:hyperlink>
    </w:p>
    <w:p>
      <w:pPr>
        <w:pStyle w:val="TOC1"/>
      </w:pPr>
      <w:hyperlink w:anchor="_Toc2004" w:history="1">
        <w:r>
          <w:rPr>
            <w:rStyle w:val="Hyperlink"/>
          </w:rPr>
          <w:t xml:space="preserve">5. NUTZEN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_Toc2004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2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3040" w:history="1">
        <w:r>
          <w:rPr>
            <w:rStyle w:val="Hyperlink"/>
          </w:rPr>
          <w:t xml:space="preserve">5.1 Abschnitt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_Toc3040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2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3041" w:history="1">
        <w:r>
          <w:rPr>
            <w:rStyle w:val="Hyperlink"/>
          </w:rPr>
          <w:t xml:space="preserve">5.2 Abschnitt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_Toc3041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2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3042" w:history="1">
        <w:r>
          <w:rPr>
            <w:rStyle w:val="Hyperlink"/>
          </w:rPr>
          <w:t xml:space="preserve">5.3 Abschnitt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_Toc3042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2</w:t>
        </w:r>
        <w:r>
          <w:rPr>
            <w:webHidden/>
          </w:rPr>
          <w:fldChar w:fldCharType="end"/>
        </w:r>
      </w:hyperlink>
    </w:p>
    <w:p>
      <w:pPr>
        <w:pStyle w:val="TOC1"/>
      </w:pPr>
      <w:hyperlink w:anchor="_Toc2005" w:history="1">
        <w:r>
          <w:rPr>
            <w:rStyle w:val="Hyperlink"/>
          </w:rPr>
          <w:t xml:space="preserve">6. DATENSCHUTZ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_Toc2005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3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3050" w:history="1">
        <w:r>
          <w:rPr>
            <w:rStyle w:val="Hyperlink"/>
          </w:rPr>
          <w:t xml:space="preserve">6.1 Abschnitt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_Toc3050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3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3051" w:history="1">
        <w:r>
          <w:rPr>
            <w:rStyle w:val="Hyperlink"/>
          </w:rPr>
          <w:t xml:space="preserve">6.2 Abschnitt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_Toc3051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3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3052" w:history="1">
        <w:r>
          <w:rPr>
            <w:rStyle w:val="Hyperlink"/>
          </w:rPr>
          <w:t xml:space="preserve">6.3 Abschnitt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_Toc3052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3</w:t>
        </w:r>
        <w:r>
          <w:rPr>
            <w:webHidden/>
          </w:rPr>
          <w:fldChar w:fldCharType="end"/>
        </w:r>
      </w:hyperlink>
    </w:p>
    <w:p>
      <w:pPr>
        <w:pStyle w:val="TOC1"/>
      </w:pPr>
      <w:hyperlink w:anchor="_Toc2006" w:history="1">
        <w:r>
          <w:rPr>
            <w:rStyle w:val="Hyperlink"/>
          </w:rPr>
          <w:t xml:space="preserve">7. VERSICHERUNG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_Toc2006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3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3060" w:history="1">
        <w:r>
          <w:rPr>
            <w:rStyle w:val="Hyperlink"/>
          </w:rPr>
          <w:t xml:space="preserve">7.1 Abschnitt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_Toc3060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3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3061" w:history="1">
        <w:r>
          <w:rPr>
            <w:rStyle w:val="Hyperlink"/>
          </w:rPr>
          <w:t xml:space="preserve">7.2 Abschnitt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_Toc3061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3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3062" w:history="1">
        <w:r>
          <w:rPr>
            <w:rStyle w:val="Hyperlink"/>
          </w:rPr>
          <w:t xml:space="preserve">7.3 Abschnitt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_Toc3062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3</w:t>
        </w:r>
        <w:r>
          <w:rPr>
            <w:webHidden/>
          </w:rPr>
          <w:fldChar w:fldCharType="end"/>
        </w:r>
      </w:hyperlink>
    </w:p>
    <w:p>
      <w:pPr>
        <w:pStyle w:val="TOC1"/>
      </w:pPr>
      <w:hyperlink w:anchor="_Toc2007" w:history="1">
        <w:r>
          <w:rPr>
            <w:rStyle w:val="Hyperlink"/>
          </w:rPr>
          <w:t xml:space="preserve">8. KOSTEN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_Toc2007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3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3070" w:history="1">
        <w:r>
          <w:rPr>
            <w:rStyle w:val="Hyperlink"/>
          </w:rPr>
          <w:t xml:space="preserve">8.1 Abschnitt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_Toc3070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3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3071" w:history="1">
        <w:r>
          <w:rPr>
            <w:rStyle w:val="Hyperlink"/>
          </w:rPr>
          <w:t xml:space="preserve">8.2 Abschnitt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_Toc3071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3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3072" w:history="1">
        <w:r>
          <w:rPr>
            <w:rStyle w:val="Hyperlink"/>
          </w:rPr>
          <w:t xml:space="preserve">8.3 Abschnitt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_Toc3072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3</w:t>
        </w:r>
        <w:r>
          <w:rPr>
            <w:webHidden/>
          </w:rPr>
          <w:fldChar w:fldCharType="end"/>
        </w:r>
      </w:hyperlink>
    </w:p>
    <w:p>
      <w:pPr>
        <w:pStyle w:val="TOC1"/>
      </w:pPr>
      <w:hyperlink w:anchor="_Toc2008" w:history="1">
        <w:r>
          <w:rPr>
            <w:rStyle w:val="Hyperlink"/>
          </w:rPr>
          <w:t xml:space="preserve">9. RÜCKTRITT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_Toc2008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3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3080" w:history="1">
        <w:r>
          <w:rPr>
            <w:rStyle w:val="Hyperlink"/>
          </w:rPr>
          <w:t xml:space="preserve">9.1 Abschnitt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_Toc3080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3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3081" w:history="1">
        <w:r>
          <w:rPr>
            <w:rStyle w:val="Hyperlink"/>
          </w:rPr>
          <w:t xml:space="preserve">9.2 Abschnitt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_Toc3081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3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3082" w:history="1">
        <w:r>
          <w:rPr>
            <w:rStyle w:val="Hyperlink"/>
          </w:rPr>
          <w:t xml:space="preserve">9.3 Abschnitt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_Toc3082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3</w:t>
        </w:r>
        <w:r>
          <w:rPr>
            <w:webHidden/>
          </w:rPr>
          <w:fldChar w:fldCharType="end"/>
        </w:r>
      </w:hyperlink>
    </w:p>
    <w:p>
      <w:pPr>
        <w:pStyle w:val="TOC1"/>
      </w:pPr>
      <w:hyperlink w:anchor="_Toc2009" w:history="1">
        <w:r>
          <w:rPr>
            <w:rStyle w:val="Hyperlink"/>
          </w:rPr>
          <w:t xml:space="preserve">10. KONTAKT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_Toc2009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3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3090" w:history="1">
        <w:r>
          <w:rPr>
            <w:rStyle w:val="Hyperlink"/>
          </w:rPr>
          <w:t xml:space="preserve">10.1 Abschnitt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_Toc3090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3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3091" w:history="1">
        <w:r>
          <w:rPr>
            <w:rStyle w:val="Hyperlink"/>
          </w:rPr>
          <w:t xml:space="preserve">10.2 Abschnitt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_Toc3091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3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3092" w:history="1">
        <w:r>
          <w:rPr>
            <w:rStyle w:val="Hyperlink"/>
          </w:rPr>
          <w:t xml:space="preserve">10.3 Abschnitt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_Toc3092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3</w:t>
        </w:r>
        <w:r>
          <w:rPr>
            <w:webHidden/>
          </w:rPr>
          <w:fldChar w:fldCharType="end"/>
        </w:r>
      </w:hyperlink>
      <w:r>
        <w:fldChar w:fldCharType="end"/>
      </w:r>
    </w:p>
    <w:p>
      <w:r>
        <w:br w:type="page"/>
      </w:r>
    </w:p>
    <w:p>
      <w:pPr>
        <w:pStyle w:val="Heading1"/>
        <w:numPr>
          <w:ilvl w:val="0"/>
          <w:numId w:val="1"/>
        </w:numPr>
      </w:pPr>
      <w:bookmarkStart w:id="300" w:name="_Toc2000"/>
      <w:r>
        <w:rPr>
          <w:caps/>
        </w:rPr>
        <w:t xml:space="preserve">Organisation</w:t>
      </w:r>
      <w:bookmarkEnd w:id="300"/>
    </w:p>
    <w:p>
      <w:pPr>
        <w:pStyle w:val="Heading2"/>
        <w:numPr>
          <w:ilvl w:val="1"/>
          <w:numId w:val="1"/>
        </w:numPr>
      </w:pPr>
      <w:bookmarkStart w:id="301" w:name="_Toc3000"/>
      <w:r>
        <w:t xml:space="preserve">Abschnitt</w:t>
      </w:r>
      <w:bookmarkEnd w:id="301"/>
    </w:p>
    <w:p>
      <w:r>
        <w:t xml:space="preserve">Die Messung beginnt am Morgen und endet am späten Nachmittag. Für die Auswertung gelten die Grenzwerte der Prüfvorschrift.</w:t>
      </w:r>
    </w:p>
    <w:p>
      <w:pPr>
        <w:pStyle w:val="Heading2"/>
        <w:numPr>
          <w:ilvl w:val="1"/>
          <w:numId w:val="1"/>
        </w:numPr>
      </w:pPr>
      <w:bookmarkStart w:id="302" w:name="_Toc3001"/>
      <w:r>
        <w:t xml:space="preserve">Abschnitt</w:t>
      </w:r>
      <w:bookmarkEnd w:id="302"/>
    </w:p>
    <w:p>
      <w:pPr>
        <w:shd w:val="clear" w:color="auto" w:fill="F2F2F2"/>
      </w:pPr>
      <w:r>
        <w:t xml:space="preserve">Jede Probe wird zweimal gewogen, bevor sie in den Ofen kommt. Abweichungen über fünf Prozent werden im Protokoll begründet.</w:t>
      </w:r>
    </w:p>
    <w:p>
      <w:pPr>
        <w:pStyle w:val="Heading2"/>
        <w:numPr>
          <w:ilvl w:val="1"/>
          <w:numId w:val="1"/>
        </w:numPr>
      </w:pPr>
      <w:bookmarkStart w:id="303" w:name="_Toc3002"/>
      <w:r>
        <w:t xml:space="preserve">Abschnitt</w:t>
      </w:r>
      <w:bookmarkEnd w:id="303"/>
    </w:p>
    <w:p>
      <w:r>
        <w:t xml:space="preserve">Für die Auswertung gelten die Grenzwerte der Prüfvorschrift. Die Ergebnisse stehen im Anhang, geordnet nach Datum und Ort.</w:t>
      </w:r>
    </w:p>
    <w:p>
      <w:pPr>
        <w:pStyle w:val="Heading1"/>
        <w:numPr>
          <w:ilvl w:val="0"/>
          <w:numId w:val="1"/>
        </w:numPr>
      </w:pPr>
      <w:bookmarkStart w:id="304" w:name="_Toc2001"/>
      <w:r>
        <w:rPr>
          <w:caps/>
        </w:rPr>
        <w:t xml:space="preserve">Ziel der Studie</w:t>
      </w:r>
      <w:bookmarkEnd w:id="304"/>
    </w:p>
    <w:p>
      <w:pPr>
        <w:pStyle w:val="Heading2"/>
        <w:numPr>
          <w:ilvl w:val="1"/>
          <w:numId w:val="1"/>
        </w:numPr>
      </w:pPr>
      <w:bookmarkStart w:id="305" w:name="_Toc3010"/>
      <w:r>
        <w:t xml:space="preserve">Abschnitt</w:t>
      </w:r>
      <w:bookmarkEnd w:id="305"/>
    </w:p>
    <w:p>
      <w:r>
        <w:t xml:space="preserve">Jede Probe wird zweimal gewogen, bevor sie in den Ofen kommt. Abweichungen über fünf Prozent werden im Protokoll begründet.</w:t>
      </w:r>
    </w:p>
    <w:p>
      <w:pPr>
        <w:pStyle w:val="Heading2"/>
        <w:numPr>
          <w:ilvl w:val="1"/>
          <w:numId w:val="1"/>
        </w:numPr>
      </w:pPr>
      <w:bookmarkStart w:id="306" w:name="_Toc3011"/>
      <w:r>
        <w:t xml:space="preserve">Abschnitt</w:t>
      </w:r>
      <w:bookmarkEnd w:id="306"/>
    </w:p>
    <w:p>
      <w:pPr>
        <w:shd w:val="clear" w:color="auto" w:fill="F2F2F2"/>
      </w:pPr>
      <w:r>
        <w:t xml:space="preserve">Für die Auswertung gelten die Grenzwerte der Prüfvorschrift. Die Ergebnisse stehen im Anhang, geordnet nach Datum und Ort.</w:t>
      </w:r>
    </w:p>
    <w:p>
      <w:pPr>
        <w:pStyle w:val="Heading2"/>
        <w:numPr>
          <w:ilvl w:val="1"/>
          <w:numId w:val="1"/>
        </w:numPr>
      </w:pPr>
      <w:bookmarkStart w:id="307" w:name="_Toc3012"/>
      <w:r>
        <w:t xml:space="preserve">Abschnitt</w:t>
      </w:r>
      <w:bookmarkEnd w:id="307"/>
    </w:p>
    <w:p>
      <w:r>
        <w:t xml:space="preserve">Abweichungen über fünf Prozent werden im Protokoll begründet. Wärmeübertragung und Strömung werden getrennt betrachtet.</w:t>
      </w:r>
    </w:p>
    <w:p>
      <w:pPr>
        <w:pStyle w:val="Heading1"/>
        <w:numPr>
          <w:ilvl w:val="0"/>
          <w:numId w:val="1"/>
        </w:numPr>
      </w:pPr>
      <w:bookmarkStart w:id="308" w:name="_Toc2002"/>
      <w:r>
        <w:rPr>
          <w:caps/>
        </w:rPr>
        <w:t xml:space="preserve">Ablauf</w:t>
      </w:r>
      <w:bookmarkEnd w:id="308"/>
    </w:p>
    <w:p>
      <w:pPr>
        <w:pStyle w:val="Heading2"/>
        <w:numPr>
          <w:ilvl w:val="1"/>
          <w:numId w:val="1"/>
        </w:numPr>
      </w:pPr>
      <w:bookmarkStart w:id="309" w:name="_Toc3020"/>
      <w:r>
        <w:t xml:space="preserve">Abschnitt</w:t>
      </w:r>
      <w:bookmarkEnd w:id="309"/>
    </w:p>
    <w:p>
      <w:r>
        <w:t xml:space="preserve">Für die Auswertung gelten die Grenzwerte der Prüfvorschrift. Die Ergebnisse stehen im Anhang, geordnet nach Datum und Ort.</w:t>
      </w:r>
    </w:p>
    <w:p>
      <w:pPr>
        <w:pStyle w:val="Heading2"/>
        <w:numPr>
          <w:ilvl w:val="1"/>
          <w:numId w:val="1"/>
        </w:numPr>
      </w:pPr>
      <w:bookmarkStart w:id="310" w:name="_Toc3021"/>
      <w:r>
        <w:t xml:space="preserve">Abschnitt</w:t>
      </w:r>
      <w:bookmarkEnd w:id="310"/>
    </w:p>
    <w:p>
      <w:pPr>
        <w:shd w:val="clear" w:color="auto" w:fill="F2F2F2"/>
      </w:pPr>
      <w:r>
        <w:t xml:space="preserve">Abweichungen über fünf Prozent werden im Protokoll begründet. Wärmeübertragung und Strömung werden getrennt betrachtet.</w:t>
      </w:r>
    </w:p>
    <w:p>
      <w:pPr>
        <w:pStyle w:val="Heading2"/>
        <w:numPr>
          <w:ilvl w:val="1"/>
          <w:numId w:val="1"/>
        </w:numPr>
      </w:pPr>
      <w:bookmarkStart w:id="311" w:name="_Toc3022"/>
      <w:r>
        <w:t xml:space="preserve">Abschnitt</w:t>
      </w:r>
      <w:bookmarkEnd w:id="311"/>
    </w:p>
    <w:p>
      <w:r>
        <w:t xml:space="preserve">Die Ergebnisse stehen im Anhang, geordnet nach Datum und Ort. Die Messung beginnt am Morgen und endet am späten Nachmittag.</w:t>
      </w:r>
    </w:p>
    <w:p>
      <w:pPr>
        <w:pStyle w:val="Heading1"/>
        <w:numPr>
          <w:ilvl w:val="0"/>
          <w:numId w:val="1"/>
        </w:numPr>
      </w:pPr>
      <w:bookmarkStart w:id="312" w:name="_Toc2003"/>
      <w:r>
        <w:rPr>
          <w:caps/>
        </w:rPr>
        <w:t xml:space="preserve">Risiken</w:t>
      </w:r>
      <w:bookmarkEnd w:id="312"/>
    </w:p>
    <w:p>
      <w:pPr>
        <w:pStyle w:val="Heading2"/>
        <w:numPr>
          <w:ilvl w:val="1"/>
          <w:numId w:val="1"/>
        </w:numPr>
      </w:pPr>
      <w:bookmarkStart w:id="313" w:name="_Toc3030"/>
      <w:r>
        <w:t xml:space="preserve">Abschnitt</w:t>
      </w:r>
      <w:bookmarkEnd w:id="313"/>
    </w:p>
    <w:p>
      <w:r>
        <w:t xml:space="preserve">Abweichungen über fünf Prozent werden im Protokoll begründet. Wärmeübertragung und Strömung werden getrennt betrachtet.</w:t>
      </w:r>
    </w:p>
    <w:p>
      <w:pPr>
        <w:pStyle w:val="Heading2"/>
        <w:numPr>
          <w:ilvl w:val="1"/>
          <w:numId w:val="1"/>
        </w:numPr>
      </w:pPr>
      <w:bookmarkStart w:id="314" w:name="_Toc3031"/>
      <w:r>
        <w:t xml:space="preserve">Abschnitt</w:t>
      </w:r>
      <w:bookmarkEnd w:id="314"/>
    </w:p>
    <w:p>
      <w:pPr>
        <w:shd w:val="clear" w:color="auto" w:fill="F2F2F2"/>
      </w:pPr>
      <w:r>
        <w:t xml:space="preserve">Die Ergebnisse stehen im Anhang, geordnet nach Datum und Ort. Die Messung beginnt am Morgen und endet am späten Nachmittag.</w:t>
      </w:r>
    </w:p>
    <w:p>
      <w:pPr>
        <w:pStyle w:val="Heading2"/>
        <w:numPr>
          <w:ilvl w:val="1"/>
          <w:numId w:val="1"/>
        </w:numPr>
      </w:pPr>
      <w:bookmarkStart w:id="315" w:name="_Toc3032"/>
      <w:r>
        <w:t xml:space="preserve">Abschnitt</w:t>
      </w:r>
      <w:bookmarkEnd w:id="315"/>
    </w:p>
    <w:p>
      <w:r>
        <w:t xml:space="preserve">Wärmeübertragung und Strömung werden getrennt betrachtet. Jede Probe wird zweimal gewogen, bevor sie in den Ofen kommt.</w:t>
      </w:r>
    </w:p>
    <w:p>
      <w:pPr>
        <w:pStyle w:val="Heading1"/>
        <w:numPr>
          <w:ilvl w:val="0"/>
          <w:numId w:val="1"/>
        </w:numPr>
      </w:pPr>
      <w:bookmarkStart w:id="316" w:name="_Toc2004"/>
      <w:r>
        <w:rPr>
          <w:caps/>
        </w:rPr>
        <w:t xml:space="preserve">Nutzen</w:t>
      </w:r>
      <w:bookmarkEnd w:id="316"/>
    </w:p>
    <w:p>
      <w:pPr>
        <w:pStyle w:val="Heading2"/>
        <w:numPr>
          <w:ilvl w:val="1"/>
          <w:numId w:val="1"/>
        </w:numPr>
      </w:pPr>
      <w:bookmarkStart w:id="317" w:name="_Toc3040"/>
      <w:r>
        <w:t xml:space="preserve">Abschnitt</w:t>
      </w:r>
      <w:bookmarkEnd w:id="317"/>
    </w:p>
    <w:p>
      <w:r>
        <w:t xml:space="preserve">Die Ergebnisse stehen im Anhang, geordnet nach Datum und Ort. Die Messung beginnt am Morgen und endet am späten Nachmittag.</w:t>
      </w:r>
    </w:p>
    <w:p>
      <w:pPr>
        <w:pStyle w:val="Heading2"/>
        <w:numPr>
          <w:ilvl w:val="1"/>
          <w:numId w:val="1"/>
        </w:numPr>
      </w:pPr>
      <w:bookmarkStart w:id="318" w:name="_Toc3041"/>
      <w:r>
        <w:t xml:space="preserve">Abschnitt</w:t>
      </w:r>
      <w:bookmarkEnd w:id="318"/>
    </w:p>
    <w:p>
      <w:pPr>
        <w:shd w:val="clear" w:color="auto" w:fill="F2F2F2"/>
      </w:pPr>
      <w:r>
        <w:t xml:space="preserve">Wärmeübertragung und Strömung werden getrennt betrachtet. Jede Probe wird zweimal gewogen, bevor sie in den Ofen kommt.</w:t>
      </w:r>
    </w:p>
    <w:p>
      <w:pPr>
        <w:pStyle w:val="Heading2"/>
        <w:numPr>
          <w:ilvl w:val="1"/>
          <w:numId w:val="1"/>
        </w:numPr>
      </w:pPr>
      <w:bookmarkStart w:id="319" w:name="_Toc3042"/>
      <w:r>
        <w:t xml:space="preserve">Abschnitt</w:t>
      </w:r>
      <w:bookmarkEnd w:id="319"/>
    </w:p>
    <w:p>
      <w:r>
        <w:t xml:space="preserve">Die Messung beginnt am Morgen und endet am späten Nachmittag. Für die Auswertung gelten die Grenzwerte der Prüfvorschrift.</w:t>
      </w:r>
    </w:p>
    <w:p>
      <w:pPr>
        <w:pStyle w:val="Heading1"/>
        <w:numPr>
          <w:ilvl w:val="0"/>
          <w:numId w:val="1"/>
        </w:numPr>
      </w:pPr>
      <w:bookmarkStart w:id="320" w:name="_Toc2005"/>
      <w:r>
        <w:rPr>
          <w:caps/>
        </w:rPr>
        <w:t xml:space="preserve">Datenschutz</w:t>
      </w:r>
      <w:bookmarkEnd w:id="320"/>
    </w:p>
    <w:p>
      <w:pPr>
        <w:pStyle w:val="Heading2"/>
        <w:numPr>
          <w:ilvl w:val="1"/>
          <w:numId w:val="1"/>
        </w:numPr>
      </w:pPr>
      <w:bookmarkStart w:id="321" w:name="_Toc3050"/>
      <w:r>
        <w:t xml:space="preserve">Abschnitt</w:t>
      </w:r>
      <w:bookmarkEnd w:id="321"/>
    </w:p>
    <w:p>
      <w:r>
        <w:t xml:space="preserve">Wärmeübertragung und Strömung werden getrennt betrachtet. Jede Probe wird zweimal gewogen, bevor sie in den Ofen kommt.</w:t>
      </w:r>
    </w:p>
    <w:p>
      <w:pPr>
        <w:pStyle w:val="Heading2"/>
        <w:numPr>
          <w:ilvl w:val="1"/>
          <w:numId w:val="1"/>
        </w:numPr>
      </w:pPr>
      <w:bookmarkStart w:id="322" w:name="_Toc3051"/>
      <w:r>
        <w:t xml:space="preserve">Abschnitt</w:t>
      </w:r>
      <w:bookmarkEnd w:id="322"/>
    </w:p>
    <w:p>
      <w:pPr>
        <w:shd w:val="clear" w:color="auto" w:fill="F2F2F2"/>
      </w:pPr>
      <w:r>
        <w:t xml:space="preserve">Die Messung beginnt am Morgen und endet am späten Nachmittag. Für die Auswertung gelten die Grenzwerte der Prüfvorschrift.</w:t>
      </w:r>
    </w:p>
    <w:p>
      <w:pPr>
        <w:pStyle w:val="Heading2"/>
        <w:numPr>
          <w:ilvl w:val="1"/>
          <w:numId w:val="1"/>
        </w:numPr>
      </w:pPr>
      <w:bookmarkStart w:id="323" w:name="_Toc3052"/>
      <w:r>
        <w:t xml:space="preserve">Abschnitt</w:t>
      </w:r>
      <w:bookmarkEnd w:id="323"/>
    </w:p>
    <w:p>
      <w:r>
        <w:t xml:space="preserve">Jede Probe wird zweimal gewogen, bevor sie in den Ofen kommt. Abweichungen über fünf Prozent werden im Protokoll begründet.</w:t>
      </w:r>
    </w:p>
    <w:p>
      <w:pPr>
        <w:pStyle w:val="Heading1"/>
        <w:numPr>
          <w:ilvl w:val="0"/>
          <w:numId w:val="1"/>
        </w:numPr>
      </w:pPr>
      <w:bookmarkStart w:id="324" w:name="_Toc2006"/>
      <w:r>
        <w:rPr>
          <w:caps/>
        </w:rPr>
        <w:t xml:space="preserve">Versicherung</w:t>
      </w:r>
      <w:bookmarkEnd w:id="324"/>
    </w:p>
    <w:p>
      <w:pPr>
        <w:pStyle w:val="Heading2"/>
        <w:numPr>
          <w:ilvl w:val="1"/>
          <w:numId w:val="1"/>
        </w:numPr>
      </w:pPr>
      <w:bookmarkStart w:id="325" w:name="_Toc3060"/>
      <w:r>
        <w:t xml:space="preserve">Abschnitt</w:t>
      </w:r>
      <w:bookmarkEnd w:id="325"/>
    </w:p>
    <w:p>
      <w:r>
        <w:t xml:space="preserve">Die Messung beginnt am Morgen und endet am späten Nachmittag. Für die Auswertung gelten die Grenzwerte der Prüfvorschrift.</w:t>
      </w:r>
    </w:p>
    <w:p>
      <w:pPr>
        <w:pStyle w:val="Heading2"/>
        <w:numPr>
          <w:ilvl w:val="1"/>
          <w:numId w:val="1"/>
        </w:numPr>
      </w:pPr>
      <w:bookmarkStart w:id="326" w:name="_Toc3061"/>
      <w:r>
        <w:t xml:space="preserve">Abschnitt</w:t>
      </w:r>
      <w:bookmarkEnd w:id="326"/>
    </w:p>
    <w:p>
      <w:pPr>
        <w:shd w:val="clear" w:color="auto" w:fill="F2F2F2"/>
      </w:pPr>
      <w:r>
        <w:t xml:space="preserve">Jede Probe wird zweimal gewogen, bevor sie in den Ofen kommt. Abweichungen über fünf Prozent werden im Protokoll begründet.</w:t>
      </w:r>
    </w:p>
    <w:p>
      <w:pPr>
        <w:pStyle w:val="Heading2"/>
        <w:numPr>
          <w:ilvl w:val="1"/>
          <w:numId w:val="1"/>
        </w:numPr>
      </w:pPr>
      <w:bookmarkStart w:id="327" w:name="_Toc3062"/>
      <w:r>
        <w:t xml:space="preserve">Abschnitt</w:t>
      </w:r>
      <w:bookmarkEnd w:id="327"/>
    </w:p>
    <w:p>
      <w:r>
        <w:t xml:space="preserve">Für die Auswertung gelten die Grenzwerte der Prüfvorschrift. Die Ergebnisse stehen im Anhang, geordnet nach Datum und Ort.</w:t>
      </w:r>
    </w:p>
    <w:p>
      <w:pPr>
        <w:pStyle w:val="Heading1"/>
        <w:numPr>
          <w:ilvl w:val="0"/>
          <w:numId w:val="1"/>
        </w:numPr>
      </w:pPr>
      <w:bookmarkStart w:id="328" w:name="_Toc2007"/>
      <w:r>
        <w:rPr>
          <w:caps/>
        </w:rPr>
        <w:t xml:space="preserve">Kosten</w:t>
      </w:r>
      <w:bookmarkEnd w:id="328"/>
    </w:p>
    <w:p>
      <w:pPr>
        <w:pStyle w:val="Heading2"/>
        <w:numPr>
          <w:ilvl w:val="1"/>
          <w:numId w:val="1"/>
        </w:numPr>
      </w:pPr>
      <w:bookmarkStart w:id="329" w:name="_Toc3070"/>
      <w:r>
        <w:t xml:space="preserve">Abschnitt</w:t>
      </w:r>
      <w:bookmarkEnd w:id="329"/>
    </w:p>
    <w:p>
      <w:r>
        <w:t xml:space="preserve">Jede Probe wird zweimal gewogen, bevor sie in den Ofen kommt. Abweichungen über fünf Prozent werden im Protokoll begründet.</w:t>
      </w:r>
    </w:p>
    <w:p>
      <w:pPr>
        <w:pStyle w:val="Heading2"/>
        <w:numPr>
          <w:ilvl w:val="1"/>
          <w:numId w:val="1"/>
        </w:numPr>
      </w:pPr>
      <w:bookmarkStart w:id="330" w:name="_Toc3071"/>
      <w:r>
        <w:t xml:space="preserve">Abschnitt</w:t>
      </w:r>
      <w:bookmarkEnd w:id="330"/>
    </w:p>
    <w:p>
      <w:pPr>
        <w:shd w:val="clear" w:color="auto" w:fill="F2F2F2"/>
      </w:pPr>
      <w:r>
        <w:t xml:space="preserve">Für die Auswertung gelten die Grenzwerte der Prüfvorschrift. Die Ergebnisse stehen im Anhang, geordnet nach Datum und Ort.</w:t>
      </w:r>
    </w:p>
    <w:p>
      <w:pPr>
        <w:pStyle w:val="Heading2"/>
        <w:numPr>
          <w:ilvl w:val="1"/>
          <w:numId w:val="1"/>
        </w:numPr>
      </w:pPr>
      <w:bookmarkStart w:id="331" w:name="_Toc3072"/>
      <w:r>
        <w:t xml:space="preserve">Abschnitt</w:t>
      </w:r>
      <w:bookmarkEnd w:id="331"/>
    </w:p>
    <w:p>
      <w:r>
        <w:t xml:space="preserve">Abweichungen über fünf Prozent werden im Protokoll begründet. Wärmeübertragung und Strömung werden getrennt betrachtet.</w:t>
      </w:r>
    </w:p>
    <w:p>
      <w:pPr>
        <w:pStyle w:val="Heading1"/>
        <w:numPr>
          <w:ilvl w:val="0"/>
          <w:numId w:val="1"/>
        </w:numPr>
      </w:pPr>
      <w:bookmarkStart w:id="332" w:name="_Toc2008"/>
      <w:r>
        <w:rPr>
          <w:caps/>
        </w:rPr>
        <w:t xml:space="preserve">Rücktritt</w:t>
      </w:r>
      <w:bookmarkEnd w:id="332"/>
    </w:p>
    <w:p>
      <w:pPr>
        <w:pStyle w:val="Heading2"/>
        <w:numPr>
          <w:ilvl w:val="1"/>
          <w:numId w:val="1"/>
        </w:numPr>
      </w:pPr>
      <w:bookmarkStart w:id="333" w:name="_Toc3080"/>
      <w:r>
        <w:t xml:space="preserve">Abschnitt</w:t>
      </w:r>
      <w:bookmarkEnd w:id="333"/>
    </w:p>
    <w:p>
      <w:r>
        <w:t xml:space="preserve">Für die Auswertung gelten die Grenzwerte der Prüfvorschrift. Die Ergebnisse stehen im Anhang, geordnet nach Datum und Ort.</w:t>
      </w:r>
    </w:p>
    <w:p>
      <w:pPr>
        <w:pStyle w:val="Heading2"/>
        <w:numPr>
          <w:ilvl w:val="1"/>
          <w:numId w:val="1"/>
        </w:numPr>
      </w:pPr>
      <w:bookmarkStart w:id="334" w:name="_Toc3081"/>
      <w:r>
        <w:t xml:space="preserve">Abschnitt</w:t>
      </w:r>
      <w:bookmarkEnd w:id="334"/>
    </w:p>
    <w:p>
      <w:pPr>
        <w:shd w:val="clear" w:color="auto" w:fill="F2F2F2"/>
      </w:pPr>
      <w:r>
        <w:t xml:space="preserve">Abweichungen über fünf Prozent werden im Protokoll begründet. Wärmeübertragung und Strömung werden getrennt betrachtet.</w:t>
      </w:r>
    </w:p>
    <w:p>
      <w:pPr>
        <w:pStyle w:val="Heading2"/>
        <w:numPr>
          <w:ilvl w:val="1"/>
          <w:numId w:val="1"/>
        </w:numPr>
      </w:pPr>
      <w:bookmarkStart w:id="335" w:name="_Toc3082"/>
      <w:r>
        <w:t xml:space="preserve">Abschnitt</w:t>
      </w:r>
      <w:bookmarkEnd w:id="335"/>
    </w:p>
    <w:p>
      <w:r>
        <w:t xml:space="preserve">Die Ergebnisse stehen im Anhang, geordnet nach Datum und Ort. Die Messung beginnt am Morgen und endet am späten Nachmittag.</w:t>
      </w:r>
    </w:p>
    <w:p>
      <w:pPr>
        <w:pStyle w:val="Heading1"/>
        <w:numPr>
          <w:ilvl w:val="0"/>
          <w:numId w:val="1"/>
        </w:numPr>
      </w:pPr>
      <w:bookmarkStart w:id="336" w:name="_Toc2009"/>
      <w:r>
        <w:rPr>
          <w:caps/>
        </w:rPr>
        <w:t xml:space="preserve">Kontakt</w:t>
      </w:r>
      <w:bookmarkEnd w:id="336"/>
    </w:p>
    <w:p>
      <w:pPr>
        <w:pStyle w:val="Heading2"/>
        <w:numPr>
          <w:ilvl w:val="1"/>
          <w:numId w:val="1"/>
        </w:numPr>
      </w:pPr>
      <w:bookmarkStart w:id="337" w:name="_Toc3090"/>
      <w:r>
        <w:t xml:space="preserve">Abschnitt</w:t>
      </w:r>
      <w:bookmarkEnd w:id="337"/>
    </w:p>
    <w:p>
      <w:r>
        <w:t xml:space="preserve">Abweichungen über fünf Prozent werden im Protokoll begründet. Wärmeübertragung und Strömung werden getrennt betrachtet.</w:t>
      </w:r>
    </w:p>
    <w:p>
      <w:pPr>
        <w:pStyle w:val="Heading2"/>
        <w:numPr>
          <w:ilvl w:val="1"/>
          <w:numId w:val="1"/>
        </w:numPr>
      </w:pPr>
      <w:bookmarkStart w:id="338" w:name="_Toc3091"/>
      <w:r>
        <w:t xml:space="preserve">Abschnitt</w:t>
      </w:r>
      <w:bookmarkEnd w:id="338"/>
    </w:p>
    <w:p>
      <w:pPr>
        <w:shd w:val="clear" w:color="auto" w:fill="F2F2F2"/>
      </w:pPr>
      <w:r>
        <w:t xml:space="preserve">Die Ergebnisse stehen im Anhang, geordnet nach Datum und Ort. Die Messung beginnt am Morgen und endet am späten Nachmittag.</w:t>
      </w:r>
    </w:p>
    <w:p>
      <w:pPr>
        <w:pStyle w:val="Heading2"/>
        <w:numPr>
          <w:ilvl w:val="1"/>
          <w:numId w:val="1"/>
        </w:numPr>
      </w:pPr>
      <w:bookmarkStart w:id="339" w:name="_Toc3092"/>
      <w:r>
        <w:t xml:space="preserve">Abschnitt</w:t>
      </w:r>
      <w:bookmarkEnd w:id="339"/>
    </w:p>
    <w:p>
      <w:r>
        <w:t xml:space="preserve">Wärmeübertragung und Strömung werden getrennt betrachtet. Jede Probe wird zweimal gewogen, bevor sie in den Ofen kommt.</w:t>
      </w:r>
    </w:p>
    <w:sectPr>
      <w:headerReference w:type="default" r:id="rId10"/>
      <w:foot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Footer"/>
      <w:jc w:val="right"/>
    </w:pPr>
    <w:r>
      <w:t xml:space="preserve">Seite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von </w:t>
    </w:r>
    <w:r>
      <w:fldChar w:fldCharType="begin"/>
    </w:r>
    <w:r>
      <w:instrText xml:space="preserve"> NUMPAGES </w:instrText>
    </w:r>
    <w:r>
      <w:fldChar w:fldCharType="separate"/>
    </w:r>
    <w:r>
      <w:t xml:space="preserve"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Header"/>
    </w:pPr>
    <w:sdt>
      <w:sdtPr>
        <w:alias w:val="Kopf"/>
        <w:tag w:val="Kopf"/>
        <w:id w:val="100024"/>
        <w:showingPlcHdr/>
        <w:text/>
      </w:sdtPr>
      <w:sdtContent>
        <w:r>
          <w:rPr>
            <w:rStyle w:val="PlaceholderText"/>
          </w:rPr>
          <w:t xml:space="preserve">[Hier eingeben]</w:t>
        </w:r>
      </w:sdtContent>
    </w:sdt>
    <w:r>
      <w:tab/>
    </w:r>
    <w:sdt>
      <w:sdtPr>
        <w:alias w:val="Kopf2"/>
        <w:tag w:val="Kopf2"/>
        <w:id w:val="100025"/>
        <w:showingPlcHdr/>
        <w:text/>
      </w:sdtPr>
      <w:sdtContent>
        <w:r>
          <w:rPr>
            <w:rStyle w:val="PlaceholderText"/>
          </w:rPr>
          <w:t xml:space="preserve">[Hier eingeben]</w:t>
        </w:r>
      </w:sdtContent>
    </w:sdt>
    <w:r>
      <w:tab/>
    </w:r>
    <w:sdt>
      <w:sdtPr>
        <w:alias w:val="Kopf3"/>
        <w:tag w:val="Kopf3"/>
        <w:id w:val="100026"/>
        <w:showingPlcHdr/>
        <w:text/>
      </w:sdtPr>
      <w:sdtContent>
        <w:r>
          <w:rPr>
            <w:rStyle w:val="PlaceholderText"/>
          </w:rPr>
          <w:t xml:space="preserve">[Hier eingeben]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en-US" w:eastAsia="zh-CN" w:bidi="ar-SA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qFormat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color w:val="1F4E79"/>
      <w:sz w:val="32"/>
      <w:szCs w:val="32"/>
    </w:rPr>
  </w:style>
  <w:style w:type="paragraph" w:styleId="Heading2">
    <w:name w:val="heading 2"/>
    <w:basedOn w:val="Normal"/>
    <w:qFormat/>
    <w:pPr>
      <w:keepNext/>
      <w:spacing w:before="200" w:after="80"/>
      <w:outlineLvl w:val="1"/>
    </w:pPr>
    <w:rPr>
      <w:rFonts w:asciiTheme="majorHAnsi" w:hAnsiTheme="majorHAnsi"/>
      <w:b/>
      <w:color w:val="2E74B5"/>
      <w:sz w:val="26"/>
    </w:rPr>
  </w:style>
  <w:style w:type="paragraph" w:styleId="Heading3">
    <w:name w:val="heading 3"/>
    <w:basedOn w:val="Normal"/>
    <w:qFormat/>
    <w:pPr>
      <w:keepNext/>
      <w:spacing w:before="160" w:after="60"/>
      <w:outlineLvl w:val="2"/>
    </w:pPr>
    <w:rPr>
      <w:b/>
      <w:i/>
      <w:color w:val="404040"/>
      <w:sz w:val="24"/>
    </w:rPr>
  </w:style>
  <w:style w:type="paragraph" w:styleId="Title">
    <w:name w:val="Title"/>
    <w:basedOn w:val="Normal"/>
    <w:qFormat/>
    <w:pPr>
      <w:spacing w:after="240"/>
    </w:pPr>
    <w:rPr>
      <w:rFonts w:asciiTheme="majorHAnsi" w:hAnsiTheme="majorHAnsi"/>
      <w:sz w:val="52"/>
      <w:szCs w:val="52"/>
    </w:rPr>
  </w:style>
  <w:style w:type="paragraph" w:styleId="TOC1">
    <w:name w:val="toc 1"/>
    <w:basedOn w:val="Normal"/>
    <w:qFormat/>
    <w:pPr>
      <w:tabs>
        <w:tab w:val="right" w:leader="dot" w:pos="9350"/>
      </w:tabs>
      <w:spacing w:after="80"/>
    </w:pPr>
    <w:rPr>
      <w:b/>
    </w:rPr>
  </w:style>
  <w:style w:type="paragraph" w:styleId="TOC2">
    <w:name w:val="toc 2"/>
    <w:basedOn w:val="Normal"/>
    <w:qFormat/>
    <w:pPr>
      <w:tabs>
        <w:tab w:val="right" w:leader="dot" w:pos="9350"/>
      </w:tabs>
      <w:spacing w:after="60"/>
      <w:ind w:left="220"/>
    </w:pPr>
  </w:style>
  <w:style w:type="paragraph" w:styleId="TOC3">
    <w:name w:val="toc 3"/>
    <w:basedOn w:val="Normal"/>
    <w:qFormat/>
    <w:pPr>
      <w:tabs>
        <w:tab w:val="right" w:leader="dot" w:pos="9350"/>
      </w:tabs>
      <w:spacing w:after="60"/>
      <w:ind w:left="440"/>
    </w:pPr>
    <w:rPr>
      <w:i/>
    </w:rPr>
  </w:style>
  <w:style w:type="paragraph" w:styleId="TOCHeading">
    <w:name w:val="TOC Heading"/>
    <w:basedOn w:val="Heading1"/>
    <w:qFormat/>
    <w:pPr>
      <w:outlineLvl w:val="9"/>
    </w:pPr>
  </w:style>
  <w:style w:type="paragraph" w:styleId="Caption">
    <w:name w:val="caption"/>
    <w:basedOn w:val="Normal"/>
    <w:qFormat/>
    <w:pPr>
      <w:spacing w:after="200"/>
    </w:pPr>
    <w:rPr>
      <w:i/>
      <w:color w:val="44546A"/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mmentText">
    <w:name w:val="annotation text"/>
    <w:basedOn w:val="Normal"/>
    <w:qFormat/>
    <w:pPr>
      <w:spacing w:line="240" w:lineRule="auto"/>
    </w:pPr>
    <w:rPr>
      <w:sz w:val="20"/>
    </w:rPr>
  </w:style>
  <w:style w:type="paragraph" w:styleId="Bibliography">
    <w:name w:val="Bibliography"/>
    <w:basedOn w:val="Normal"/>
    <w:qFormat/>
    <w:pPr>
      <w:ind w:left="720" w:hanging="720"/>
    </w:pPr>
  </w:style>
  <w:style w:type="character" w:styleId="FootnoteReference">
    <w:name w:val="footnote reference"/>
    <w:qFormat/>
    <w:rPr>
      <w:vertAlign w:val="superscript"/>
    </w:rPr>
  </w:style>
  <w:style w:type="character" w:styleId="EndnoteReference">
    <w:name w:val="endnote reference"/>
    <w:qFormat/>
    <w:rPr>
      <w:vertAlign w:val="superscript"/>
    </w:rPr>
  </w:style>
  <w:style w:type="character" w:styleId="CommentReference">
    <w:name w:val="annotation reference"/>
    <w:qFormat/>
    <w:rPr>
      <w:sz w:val="16"/>
    </w:rPr>
  </w:style>
  <w:style w:type="character" w:styleId="Hyperlink">
    <w:name w:val="Hyperlink"/>
    <w:qFormat/>
    <w:rPr>
      <w:color w:val="0563C1"/>
      <w:u w:val="single"/>
    </w:rPr>
  </w:style>
  <w:style w:type="character" w:styleId="PlaceholderText">
    <w:name w:val="Placeholder Text"/>
    <w:qFormat/>
    <w:rPr>
      <w:color w:val="808080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styles" Target="styles.xml"/><Relationship Id="rId13" Type="http://schemas.openxmlformats.org/officeDocument/2006/relationships/numbering" Target="numbering.xml"/><Relationship Id="rId14" Type="http://schemas.openxmlformats.org/officeDocument/2006/relationships/settings" Target="settings.xml"/><Relationship Id="rId1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orpus">
  <a:themeElements>
    <a:clrScheme name="Corpu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us">
      <a:majorFont>
        <a:latin typeface="Cambria"/>
        <a:ea typeface=""/>
        <a:cs typeface=""/>
        <a:font script="Hans" typeface="SimSun"/>
        <a:font script="Jpan" typeface="MS Mincho"/>
        <a:font script="Hebr" typeface="Times New Roman"/>
        <a:font script="Arab" typeface="Times New Roman"/>
      </a:majorFont>
      <a:minorFont>
        <a:latin typeface="Calibri"/>
        <a:ea typeface=""/>
        <a:cs typeface=""/>
        <a:font script="Hans" typeface="SimSun"/>
        <a:font script="Jpan" typeface="MS Mincho"/>
        <a:font script="Hebr" typeface="Arial"/>
        <a:font script="Arab" typeface="Arial"/>
      </a:minorFont>
    </a:fontScheme>
    <a:fmtScheme name="Corpus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docx-to-pdf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Patienteninformation</dc:title>
  <dc:creator>docx-to-pdf contributors</dc:creator>
  <dcterms:created xsi:type="dcterms:W3CDTF">2026-01-01T00:00:00Z</dcterms:created>
  <dcterms:modified xsi:type="dcterms:W3CDTF">2026-01-01T00:00:00Z</dcterms:modified>
</cp:coreProperties>
</file>