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5FF4D">
      <w:pPr>
        <w:pStyle w:val="3"/>
        <w:numPr>
          <w:ilvl w:val="0"/>
          <w:numId w:val="0"/>
        </w:numPr>
        <w:spacing w:before="312" w:beforeLines="100" w:after="312" w:afterLines="100"/>
        <w:jc w:val="center"/>
        <w:rPr>
          <w:sz w:val="52"/>
          <w:szCs w:val="48"/>
        </w:rPr>
      </w:pPr>
      <w:r>
        <w:rPr>
          <w:rFonts w:hint="eastAsia"/>
          <w:sz w:val="52"/>
          <w:szCs w:val="48"/>
        </w:rPr>
        <w:t>网络安全等级保护测评报告评审表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6302"/>
      </w:tblGrid>
      <w:tr w14:paraId="380E7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09801979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合同编号</w:t>
            </w:r>
          </w:p>
        </w:tc>
        <w:tc>
          <w:tcPr>
            <w:tcW w:w="3698" w:type="pct"/>
            <w:vAlign w:val="center"/>
          </w:tcPr>
          <w:p w14:paraId="125DEB09">
            <w:pPr>
              <w:spacing w:before="156" w:beforeLines="50" w:after="156" w:afterLines="50"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AG202501-XXX</w:t>
            </w:r>
          </w:p>
        </w:tc>
      </w:tr>
      <w:tr w14:paraId="0ABA1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1DA9E027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报告名称</w:t>
            </w:r>
          </w:p>
        </w:tc>
        <w:tc>
          <w:tcPr>
            <w:tcW w:w="3698" w:type="pct"/>
            <w:vAlign w:val="center"/>
          </w:tcPr>
          <w:p w14:paraId="19090965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《XX单位XX系统网络安全等级保护测评报告》</w:t>
            </w:r>
          </w:p>
        </w:tc>
      </w:tr>
      <w:tr w14:paraId="2DFA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201B9905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评审要点</w:t>
            </w:r>
          </w:p>
        </w:tc>
        <w:tc>
          <w:tcPr>
            <w:tcW w:w="3698" w:type="pct"/>
            <w:vAlign w:val="center"/>
          </w:tcPr>
          <w:p w14:paraId="5DCA1E52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测评对象测评指标选择是否合理；网络拓扑结构及边界划分描述是否清晰；附录测评记录表判分是否准确；测评工具接入点结果；整体分析内容是否合理；测评结论是否准确、安全整改建议是否合理等。</w:t>
            </w:r>
          </w:p>
        </w:tc>
      </w:tr>
      <w:tr w14:paraId="4F32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6D670A9D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评审要求</w:t>
            </w:r>
          </w:p>
        </w:tc>
        <w:tc>
          <w:tcPr>
            <w:tcW w:w="3698" w:type="pct"/>
          </w:tcPr>
          <w:p w14:paraId="250F18AE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测评报告编制人员收到评审意见后，需在10个工作日内完成报告整改并提交评审小组进行复审。如复审仍有问题，将要求编制人员继续整改，直至通过复审。</w:t>
            </w:r>
          </w:p>
        </w:tc>
      </w:tr>
      <w:tr w14:paraId="472B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62ED4CAC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评审和反馈意见</w:t>
            </w:r>
          </w:p>
        </w:tc>
        <w:tc>
          <w:tcPr>
            <w:tcW w:w="3698" w:type="pct"/>
            <w:vAlign w:val="center"/>
          </w:tcPr>
          <w:p w14:paraId="44A348C3">
            <w:pPr>
              <w:spacing w:before="156" w:beforeLines="50" w:after="156" w:afterLines="50"/>
              <w:rPr>
                <w:rFonts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见附件：《XX系统测评报告评审意见及反馈记录》</w:t>
            </w:r>
          </w:p>
        </w:tc>
      </w:tr>
      <w:tr w14:paraId="1F09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601DDAE4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评审结论</w:t>
            </w:r>
          </w:p>
        </w:tc>
        <w:tc>
          <w:tcPr>
            <w:tcW w:w="3698" w:type="pct"/>
            <w:vAlign w:val="center"/>
          </w:tcPr>
          <w:p w14:paraId="746342E1">
            <w:pPr>
              <w:spacing w:line="480" w:lineRule="auto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□通过，予以打印       □不通过</w:t>
            </w:r>
          </w:p>
        </w:tc>
      </w:tr>
      <w:tr w14:paraId="28FE0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4E812463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项目组长</w:t>
            </w:r>
          </w:p>
        </w:tc>
        <w:tc>
          <w:tcPr>
            <w:tcW w:w="3698" w:type="pct"/>
            <w:shd w:val="clear" w:color="auto" w:fill="auto"/>
            <w:vAlign w:val="center"/>
          </w:tcPr>
          <w:p w14:paraId="4B5DD5DC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sz w:val="24"/>
              </w:rPr>
            </w:pPr>
          </w:p>
          <w:p w14:paraId="69E24857">
            <w:pPr>
              <w:pStyle w:val="2"/>
              <w:ind w:firstLine="3840" w:firstLineChars="1600"/>
            </w:pPr>
            <w:r>
              <w:rPr>
                <w:rFonts w:hint="eastAsia" w:ascii="仿宋" w:hAnsi="仿宋" w:eastAsia="仿宋" w:cs="仿宋"/>
                <w:bCs/>
                <w:sz w:val="24"/>
              </w:rPr>
              <w:t>日期：</w:t>
            </w:r>
          </w:p>
        </w:tc>
      </w:tr>
      <w:tr w14:paraId="77A16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359C7F7E">
            <w:pPr>
              <w:spacing w:before="156" w:beforeLines="50" w:after="156" w:afterLines="50"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报告编制人</w:t>
            </w:r>
          </w:p>
        </w:tc>
        <w:tc>
          <w:tcPr>
            <w:tcW w:w="3698" w:type="pct"/>
            <w:shd w:val="clear" w:color="auto" w:fill="auto"/>
            <w:vAlign w:val="center"/>
          </w:tcPr>
          <w:p w14:paraId="4FD3CBCE">
            <w:pPr>
              <w:spacing w:before="156" w:beforeLines="50" w:after="156" w:afterLines="50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 xml:space="preserve">  </w:t>
            </w:r>
          </w:p>
          <w:p w14:paraId="0B3E7F2C">
            <w:pPr>
              <w:spacing w:before="156" w:beforeLines="50" w:after="156" w:afterLines="50"/>
              <w:ind w:firstLine="3840" w:firstLineChars="160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>日期：</w:t>
            </w:r>
          </w:p>
        </w:tc>
      </w:tr>
      <w:tr w14:paraId="2671A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06CF99C7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质量主管审核</w:t>
            </w:r>
          </w:p>
        </w:tc>
        <w:tc>
          <w:tcPr>
            <w:tcW w:w="3698" w:type="pct"/>
            <w:shd w:val="clear" w:color="auto" w:fill="auto"/>
            <w:vAlign w:val="center"/>
          </w:tcPr>
          <w:p w14:paraId="654B0E54">
            <w:pPr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 xml:space="preserve">                           </w:t>
            </w:r>
          </w:p>
          <w:p w14:paraId="0B719EB6">
            <w:pPr>
              <w:rPr>
                <w:rFonts w:hint="eastAsia" w:ascii="仿宋" w:hAnsi="仿宋" w:eastAsia="仿宋" w:cs="仿宋"/>
                <w:bCs/>
                <w:sz w:val="24"/>
              </w:rPr>
            </w:pPr>
          </w:p>
          <w:p w14:paraId="20E258B4">
            <w:pPr>
              <w:ind w:firstLine="3600" w:firstLineChars="1500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 xml:space="preserve">  日期：</w:t>
            </w:r>
          </w:p>
        </w:tc>
      </w:tr>
      <w:tr w14:paraId="19B2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713EC546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技术主管审核</w:t>
            </w:r>
          </w:p>
        </w:tc>
        <w:tc>
          <w:tcPr>
            <w:tcW w:w="3698" w:type="pct"/>
            <w:shd w:val="clear" w:color="auto" w:fill="auto"/>
            <w:vAlign w:val="center"/>
          </w:tcPr>
          <w:p w14:paraId="102306EB">
            <w:pPr>
              <w:spacing w:line="480" w:lineRule="auto"/>
              <w:rPr>
                <w:rFonts w:hint="eastAsia" w:ascii="仿宋" w:hAnsi="仿宋" w:eastAsia="仿宋" w:cs="仿宋"/>
                <w:bCs/>
                <w:sz w:val="24"/>
              </w:rPr>
            </w:pPr>
          </w:p>
          <w:p w14:paraId="2ACD1BD8">
            <w:pPr>
              <w:spacing w:line="480" w:lineRule="auto"/>
              <w:ind w:firstLine="2160" w:firstLineChars="9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 xml:space="preserve">              日期：</w:t>
            </w:r>
          </w:p>
        </w:tc>
      </w:tr>
      <w:tr w14:paraId="7F86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5E1CCFE1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2"/>
                <w:szCs w:val="22"/>
              </w:rPr>
              <w:t>批准人或授权签字人</w:t>
            </w:r>
          </w:p>
        </w:tc>
        <w:tc>
          <w:tcPr>
            <w:tcW w:w="3698" w:type="pct"/>
            <w:shd w:val="clear" w:color="auto" w:fill="auto"/>
            <w:vAlign w:val="center"/>
          </w:tcPr>
          <w:p w14:paraId="125FC7F4">
            <w:pPr>
              <w:spacing w:line="480" w:lineRule="auto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</w:rPr>
              <w:t xml:space="preserve">                                日期：</w:t>
            </w:r>
          </w:p>
        </w:tc>
      </w:tr>
      <w:tr w14:paraId="0F66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301" w:type="pct"/>
            <w:shd w:val="clear" w:color="auto" w:fill="auto"/>
            <w:vAlign w:val="center"/>
          </w:tcPr>
          <w:p w14:paraId="67F3C628">
            <w:pPr>
              <w:spacing w:line="480" w:lineRule="auto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其他</w:t>
            </w:r>
          </w:p>
        </w:tc>
        <w:tc>
          <w:tcPr>
            <w:tcW w:w="3698" w:type="pct"/>
            <w:vAlign w:val="center"/>
          </w:tcPr>
          <w:p w14:paraId="0E05CBC5">
            <w:pPr>
              <w:spacing w:line="480" w:lineRule="auto"/>
              <w:rPr>
                <w:rFonts w:hint="eastAsia" w:ascii="仿宋" w:hAnsi="仿宋" w:eastAsia="仿宋" w:cs="仿宋"/>
                <w:b/>
                <w:sz w:val="24"/>
              </w:rPr>
            </w:pPr>
          </w:p>
        </w:tc>
      </w:tr>
    </w:tbl>
    <w:p w14:paraId="7B803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2ADA9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7839F0">
                          <w:pPr>
                            <w:pStyle w:val="1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7839F0">
                    <w:pPr>
                      <w:pStyle w:val="1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9DC15">
    <w:pPr>
      <w:pStyle w:val="14"/>
      <w:pBdr>
        <w:bottom w:val="single" w:color="auto" w:sz="4" w:space="1"/>
      </w:pBdr>
      <w:rPr>
        <w:rFonts w:eastAsia="仿宋"/>
        <w:sz w:val="21"/>
        <w:szCs w:val="21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AG-XM-016-2025</w:t>
    </w:r>
  </w:p>
  <w:p w14:paraId="5F5CEBC4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FD99BE"/>
    <w:multiLevelType w:val="multilevel"/>
    <w:tmpl w:val="6DFD99BE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CDB7343"/>
    <w:multiLevelType w:val="multilevel"/>
    <w:tmpl w:val="7CDB7343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eastAsia" w:eastAsia="宋体"/>
        <w:b/>
        <w:i w:val="0"/>
        <w:sz w:val="30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eastAsia" w:eastAsia="宋体"/>
        <w:b/>
        <w:i w:val="0"/>
        <w:sz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 w:eastAsia="宋体"/>
        <w:b w:val="0"/>
        <w:i w:val="0"/>
        <w:sz w:val="24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eastAsia" w:eastAsia="宋体"/>
        <w:b w:val="0"/>
        <w:i w:val="0"/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 w:eastAsia="宋体"/>
        <w:b w:val="0"/>
        <w:i w:val="0"/>
        <w:sz w:val="24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00172A27"/>
    <w:rsid w:val="00172A27"/>
    <w:rsid w:val="00BD0884"/>
    <w:rsid w:val="00BE72E8"/>
    <w:rsid w:val="00E54138"/>
    <w:rsid w:val="0517788C"/>
    <w:rsid w:val="06CF7953"/>
    <w:rsid w:val="07555465"/>
    <w:rsid w:val="077F6D91"/>
    <w:rsid w:val="09A5229C"/>
    <w:rsid w:val="0D675E49"/>
    <w:rsid w:val="10F52C65"/>
    <w:rsid w:val="12851F99"/>
    <w:rsid w:val="14DC7824"/>
    <w:rsid w:val="154A1594"/>
    <w:rsid w:val="16A2065B"/>
    <w:rsid w:val="16E6347A"/>
    <w:rsid w:val="17163AEC"/>
    <w:rsid w:val="1BB13D28"/>
    <w:rsid w:val="21973CC6"/>
    <w:rsid w:val="24AA5B00"/>
    <w:rsid w:val="2660743F"/>
    <w:rsid w:val="266377A8"/>
    <w:rsid w:val="2BE064B0"/>
    <w:rsid w:val="2C300F8D"/>
    <w:rsid w:val="2C936E46"/>
    <w:rsid w:val="2D665F8C"/>
    <w:rsid w:val="307C445F"/>
    <w:rsid w:val="30F65428"/>
    <w:rsid w:val="32E12885"/>
    <w:rsid w:val="33D36657"/>
    <w:rsid w:val="340E75A2"/>
    <w:rsid w:val="35815D71"/>
    <w:rsid w:val="3A0532F0"/>
    <w:rsid w:val="3AE245A1"/>
    <w:rsid w:val="3B167DFA"/>
    <w:rsid w:val="3BB71E2D"/>
    <w:rsid w:val="3EF6562E"/>
    <w:rsid w:val="40042C8E"/>
    <w:rsid w:val="40834D7C"/>
    <w:rsid w:val="415D2FB2"/>
    <w:rsid w:val="42F15CD2"/>
    <w:rsid w:val="45371323"/>
    <w:rsid w:val="4E8A3DE2"/>
    <w:rsid w:val="5176689F"/>
    <w:rsid w:val="559820E4"/>
    <w:rsid w:val="583E18E5"/>
    <w:rsid w:val="59277361"/>
    <w:rsid w:val="5D2D2508"/>
    <w:rsid w:val="5EDE4F76"/>
    <w:rsid w:val="5F441812"/>
    <w:rsid w:val="60A3639E"/>
    <w:rsid w:val="62301755"/>
    <w:rsid w:val="62A86252"/>
    <w:rsid w:val="64D47DB3"/>
    <w:rsid w:val="65576568"/>
    <w:rsid w:val="672F30C6"/>
    <w:rsid w:val="68423901"/>
    <w:rsid w:val="69D83E9F"/>
    <w:rsid w:val="6A1F3A5C"/>
    <w:rsid w:val="6FFA47D0"/>
    <w:rsid w:val="7218185F"/>
    <w:rsid w:val="737355EE"/>
    <w:rsid w:val="74023218"/>
    <w:rsid w:val="77DF5FFB"/>
    <w:rsid w:val="7B2269B6"/>
    <w:rsid w:val="7F85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9"/>
    <w:autoRedefine/>
    <w:qFormat/>
    <w:uiPriority w:val="0"/>
    <w:pPr>
      <w:numPr>
        <w:ilvl w:val="0"/>
        <w:numId w:val="1"/>
      </w:numPr>
      <w:spacing w:line="480" w:lineRule="auto"/>
      <w:outlineLvl w:val="0"/>
    </w:pPr>
    <w:rPr>
      <w:rFonts w:eastAsia="仿宋"/>
      <w:b/>
      <w:sz w:val="24"/>
      <w:szCs w:val="22"/>
    </w:rPr>
  </w:style>
  <w:style w:type="paragraph" w:styleId="4">
    <w:name w:val="heading 2"/>
    <w:basedOn w:val="1"/>
    <w:next w:val="1"/>
    <w:link w:val="20"/>
    <w:autoRedefine/>
    <w:semiHidden/>
    <w:unhideWhenUsed/>
    <w:qFormat/>
    <w:uiPriority w:val="0"/>
    <w:pPr>
      <w:keepNext/>
      <w:keepLines/>
      <w:numPr>
        <w:ilvl w:val="1"/>
        <w:numId w:val="1"/>
      </w:numPr>
      <w:adjustRightInd w:val="0"/>
      <w:ind w:left="0" w:firstLine="0"/>
      <w:jc w:val="left"/>
      <w:outlineLvl w:val="1"/>
    </w:pPr>
    <w:rPr>
      <w:rFonts w:ascii="Calibri Light" w:hAnsi="Calibri Light"/>
      <w:b/>
      <w:bCs/>
      <w:szCs w:val="32"/>
    </w:rPr>
  </w:style>
  <w:style w:type="paragraph" w:styleId="5">
    <w:name w:val="heading 3"/>
    <w:basedOn w:val="1"/>
    <w:next w:val="1"/>
    <w:autoRedefine/>
    <w:semiHidden/>
    <w:unhideWhenUsed/>
    <w:qFormat/>
    <w:uiPriority w:val="0"/>
    <w:pPr>
      <w:numPr>
        <w:ilvl w:val="2"/>
        <w:numId w:val="2"/>
      </w:numPr>
      <w:spacing w:before="50" w:beforeLines="50" w:afterAutospacing="1"/>
      <w:jc w:val="left"/>
      <w:outlineLvl w:val="2"/>
    </w:pPr>
    <w:rPr>
      <w:rFonts w:hint="eastAsia" w:ascii="宋体" w:hAnsi="宋体"/>
      <w:kern w:val="0"/>
      <w:sz w:val="24"/>
      <w:szCs w:val="27"/>
    </w:rPr>
  </w:style>
  <w:style w:type="paragraph" w:styleId="6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spacing w:after="120"/>
    </w:pPr>
  </w:style>
  <w:style w:type="paragraph" w:styleId="12">
    <w:name w:val="annotation text"/>
    <w:basedOn w:val="1"/>
    <w:semiHidden/>
    <w:unhideWhenUsed/>
    <w:qFormat/>
    <w:uiPriority w:val="99"/>
    <w:pPr>
      <w:jc w:val="left"/>
    </w:pPr>
  </w:style>
  <w:style w:type="paragraph" w:styleId="1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5">
    <w:name w:val="Body Text First Indent"/>
    <w:basedOn w:val="2"/>
    <w:autoRedefine/>
    <w:qFormat/>
    <w:uiPriority w:val="0"/>
    <w:pPr>
      <w:ind w:firstLine="420" w:firstLineChars="100"/>
    </w:pPr>
  </w:style>
  <w:style w:type="table" w:styleId="17">
    <w:name w:val="Table Grid"/>
    <w:basedOn w:val="16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link w:val="3"/>
    <w:autoRedefine/>
    <w:qFormat/>
    <w:uiPriority w:val="0"/>
    <w:rPr>
      <w:rFonts w:ascii="Times New Roman" w:hAnsi="Times New Roman" w:eastAsia="仿宋"/>
      <w:b/>
      <w:kern w:val="2"/>
      <w:sz w:val="24"/>
      <w:szCs w:val="22"/>
    </w:rPr>
  </w:style>
  <w:style w:type="character" w:customStyle="1" w:styleId="20">
    <w:name w:val="标题 2 字符"/>
    <w:link w:val="4"/>
    <w:autoRedefine/>
    <w:qFormat/>
    <w:uiPriority w:val="0"/>
    <w:rPr>
      <w:rFonts w:ascii="Arial" w:hAnsi="Arial" w:eastAsia="宋体" w:cs="Times New Roman"/>
      <w:b/>
      <w:bCs/>
      <w:kern w:val="44"/>
      <w:sz w:val="21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302</Words>
  <Characters>317</Characters>
  <Lines>3</Lines>
  <Paragraphs>1</Paragraphs>
  <TotalTime>0</TotalTime>
  <ScaleCrop>false</ScaleCrop>
  <LinksUpToDate>false</LinksUpToDate>
  <CharactersWithSpaces>401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葛利</dc:creator>
  <cp:lastModifiedBy>氧化</cp:lastModifiedBy>
  <dcterms:modified xsi:type="dcterms:W3CDTF">2025-07-09T05:20:21Z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6D57ECDA467B4C689B542F278930CA08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