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3BAC0D4" w14:textId="77777777" w:rsidR="00732D82" w:rsidRDefault="00732D82">
      <w:pPr>
        <w:widowControl/>
        <w:spacing w:beforeLines="50" w:before="156" w:afterLines="50" w:after="156" w:line="480" w:lineRule="auto"/>
        <w:ind w:firstLineChars="0" w:firstLine="0"/>
        <w:jc w:val="center"/>
        <w:rPr>
          <w:rFonts w:ascii="仿宋" w:eastAsia="仿宋" w:hAnsi="仿宋" w:cs="仿宋" w:hint="eastAsia"/>
          <w:b/>
          <w:color w:val="000000"/>
          <w:kern w:val="0"/>
          <w:sz w:val="32"/>
          <w:szCs w:val="32"/>
        </w:rPr>
      </w:pPr>
      <w:r>
        <w:rPr>
          <w:rFonts w:ascii="仿宋" w:eastAsia="仿宋" w:hAnsi="仿宋" w:cs="仿宋" w:hint="eastAsia"/>
          <w:b/>
          <w:color w:val="000000"/>
          <w:kern w:val="0"/>
          <w:sz w:val="32"/>
          <w:szCs w:val="32"/>
        </w:rPr>
        <w:t>风险告知书</w:t>
      </w:r>
    </w:p>
    <w:p w14:paraId="1E84527E" w14:textId="77777777" w:rsidR="00732D82" w:rsidRDefault="00732D82">
      <w:pPr>
        <w:ind w:firstLine="480"/>
        <w:rPr>
          <w:rFonts w:ascii="仿宋" w:eastAsia="仿宋" w:hAnsi="仿宋" w:cs="仿宋" w:hint="eastAsia"/>
          <w:sz w:val="24"/>
        </w:rPr>
      </w:pPr>
      <w:r>
        <w:rPr>
          <w:rFonts w:ascii="仿宋" w:eastAsia="仿宋" w:hAnsi="仿宋" w:cs="仿宋" w:hint="eastAsia"/>
          <w:sz w:val="24"/>
        </w:rPr>
        <w:t xml:space="preserve">在您与本公司签订等级保护测评协议后，您与本公司之间建立的是一种委托测评关系，这种关系是平等互利的关系，在整个委托测评期间，请您务必注意以下几点： </w:t>
      </w:r>
    </w:p>
    <w:p w14:paraId="555D7E91" w14:textId="77777777" w:rsidR="00732D82" w:rsidRDefault="00732D82">
      <w:pPr>
        <w:pStyle w:val="1"/>
        <w:ind w:firstLine="482"/>
        <w:rPr>
          <w:rFonts w:ascii="仿宋" w:eastAsia="仿宋" w:hAnsi="仿宋" w:cs="仿宋" w:hint="eastAsia"/>
          <w:szCs w:val="24"/>
        </w:rPr>
      </w:pPr>
      <w:r>
        <w:rPr>
          <w:rFonts w:ascii="仿宋" w:eastAsia="仿宋" w:hAnsi="仿宋" w:cs="仿宋" w:hint="eastAsia"/>
          <w:szCs w:val="24"/>
        </w:rPr>
        <w:t>被测评单位可能承担的风险</w:t>
      </w:r>
    </w:p>
    <w:p w14:paraId="7ECD75DC" w14:textId="77777777" w:rsidR="00732D82" w:rsidRDefault="00732D82">
      <w:pPr>
        <w:pStyle w:val="2"/>
        <w:ind w:firstLine="482"/>
        <w:rPr>
          <w:rFonts w:ascii="仿宋" w:eastAsia="仿宋" w:hAnsi="仿宋" w:cs="仿宋" w:hint="eastAsia"/>
        </w:rPr>
      </w:pPr>
      <w:r>
        <w:rPr>
          <w:rFonts w:ascii="仿宋" w:eastAsia="仿宋" w:hAnsi="仿宋" w:cs="仿宋" w:hint="eastAsia"/>
        </w:rPr>
        <w:t>可能影响系统正常运行</w:t>
      </w:r>
    </w:p>
    <w:p w14:paraId="2B2F7C6C" w14:textId="77777777" w:rsidR="00732D82" w:rsidRDefault="00732D82">
      <w:pPr>
        <w:ind w:firstLine="480"/>
        <w:rPr>
          <w:rFonts w:ascii="仿宋" w:eastAsia="仿宋" w:hAnsi="仿宋" w:cs="仿宋" w:hint="eastAsia"/>
          <w:sz w:val="24"/>
        </w:rPr>
      </w:pPr>
      <w:r>
        <w:rPr>
          <w:rFonts w:ascii="仿宋" w:eastAsia="仿宋" w:hAnsi="仿宋" w:cs="仿宋" w:hint="eastAsia"/>
          <w:sz w:val="24"/>
        </w:rPr>
        <w:t>在现场测评时，需要对设备和系统进行一定的验证测试工作，部分测试内容需要上机验证并查看一些信息，这就可能对系统的运行造成一定的影响，甚至存在误操作的可能。</w:t>
      </w:r>
    </w:p>
    <w:p w14:paraId="57C50CAE" w14:textId="77777777" w:rsidR="00732D82" w:rsidRDefault="00732D82">
      <w:pPr>
        <w:ind w:firstLine="480"/>
        <w:rPr>
          <w:rFonts w:ascii="仿宋" w:eastAsia="仿宋" w:hAnsi="仿宋" w:cs="仿宋" w:hint="eastAsia"/>
          <w:sz w:val="24"/>
        </w:rPr>
      </w:pPr>
      <w:r>
        <w:rPr>
          <w:rFonts w:ascii="仿宋" w:eastAsia="仿宋" w:hAnsi="仿宋" w:cs="仿宋" w:hint="eastAsia"/>
          <w:sz w:val="24"/>
        </w:rPr>
        <w:t>此外，使用测试工具进行漏洞扫描测试、性能测试及渗透测试等，可能会对网络和系统的负载造成一定的影响，渗透性攻击测试还可能影响到服务器和系统正常运行，如出现重启、服务中断、渗透过程中植入的代码未完全清理等现象。</w:t>
      </w:r>
    </w:p>
    <w:p w14:paraId="3D845A0F" w14:textId="77777777" w:rsidR="00732D82" w:rsidRDefault="00732D82">
      <w:pPr>
        <w:pStyle w:val="2"/>
        <w:ind w:firstLine="482"/>
        <w:rPr>
          <w:rFonts w:ascii="仿宋" w:eastAsia="仿宋" w:hAnsi="仿宋" w:cs="仿宋" w:hint="eastAsia"/>
        </w:rPr>
      </w:pPr>
      <w:r>
        <w:rPr>
          <w:rFonts w:ascii="仿宋" w:eastAsia="仿宋" w:hAnsi="仿宋" w:cs="仿宋" w:hint="eastAsia"/>
        </w:rPr>
        <w:t>可能泄露敏感信息</w:t>
      </w:r>
    </w:p>
    <w:p w14:paraId="197FCC0A" w14:textId="77777777" w:rsidR="00732D82" w:rsidRDefault="00732D82">
      <w:pPr>
        <w:ind w:firstLine="480"/>
        <w:rPr>
          <w:rFonts w:ascii="仿宋" w:eastAsia="仿宋" w:hAnsi="仿宋" w:cs="仿宋" w:hint="eastAsia"/>
          <w:sz w:val="24"/>
        </w:rPr>
      </w:pPr>
      <w:r>
        <w:rPr>
          <w:rFonts w:ascii="仿宋" w:eastAsia="仿宋" w:hAnsi="仿宋" w:cs="仿宋" w:hint="eastAsia"/>
          <w:sz w:val="24"/>
        </w:rPr>
        <w:t>泄露被测信息系统状态信息，如网络拓扑、IP地址、业务流程、安全机制、安全隐患和有关文档信息。</w:t>
      </w:r>
    </w:p>
    <w:p w14:paraId="56C36643" w14:textId="77777777" w:rsidR="00732D82" w:rsidRDefault="00732D82">
      <w:pPr>
        <w:pStyle w:val="1"/>
        <w:ind w:firstLine="482"/>
        <w:rPr>
          <w:rFonts w:ascii="仿宋" w:eastAsia="仿宋" w:hAnsi="仿宋" w:cs="仿宋" w:hint="eastAsia"/>
          <w:szCs w:val="24"/>
        </w:rPr>
      </w:pPr>
      <w:r>
        <w:rPr>
          <w:rFonts w:ascii="仿宋" w:eastAsia="仿宋" w:hAnsi="仿宋" w:cs="仿宋" w:hint="eastAsia"/>
          <w:szCs w:val="24"/>
        </w:rPr>
        <w:t>风险规避措施</w:t>
      </w:r>
    </w:p>
    <w:p w14:paraId="2136EEE2" w14:textId="77777777" w:rsidR="00732D82" w:rsidRDefault="00732D82">
      <w:pPr>
        <w:pStyle w:val="2"/>
        <w:ind w:firstLine="482"/>
        <w:rPr>
          <w:rFonts w:ascii="仿宋" w:eastAsia="仿宋" w:hAnsi="仿宋" w:cs="仿宋" w:hint="eastAsia"/>
        </w:rPr>
      </w:pPr>
      <w:r>
        <w:rPr>
          <w:rFonts w:ascii="仿宋" w:eastAsia="仿宋" w:hAnsi="仿宋" w:cs="仿宋" w:hint="eastAsia"/>
        </w:rPr>
        <w:t>签署委托测评协议</w:t>
      </w:r>
    </w:p>
    <w:p w14:paraId="53772612" w14:textId="77777777" w:rsidR="00732D82" w:rsidRDefault="00732D82">
      <w:pPr>
        <w:ind w:firstLine="480"/>
        <w:rPr>
          <w:rFonts w:ascii="仿宋" w:eastAsia="仿宋" w:hAnsi="仿宋" w:cs="仿宋" w:hint="eastAsia"/>
          <w:sz w:val="24"/>
        </w:rPr>
      </w:pPr>
      <w:r>
        <w:rPr>
          <w:rFonts w:ascii="仿宋" w:eastAsia="仿宋" w:hAnsi="仿宋" w:cs="仿宋" w:hint="eastAsia"/>
          <w:sz w:val="24"/>
        </w:rPr>
        <w:t>在测评工作正式开始之前，测评单位和委托单位需要以委托测评协议的方式明确测评工作的目标、范围和要求，以及双方的责任和义务等，使得测评双方对测评过程中的基本问题达成共识，后续的工作也以此为基础，避免以后的工作出现大的分歧。</w:t>
      </w:r>
    </w:p>
    <w:p w14:paraId="1CFC75CE" w14:textId="77777777" w:rsidR="00732D82" w:rsidRDefault="00732D82">
      <w:pPr>
        <w:pStyle w:val="2"/>
        <w:ind w:firstLine="482"/>
        <w:rPr>
          <w:rFonts w:ascii="仿宋" w:eastAsia="仿宋" w:hAnsi="仿宋" w:cs="仿宋" w:hint="eastAsia"/>
        </w:rPr>
      </w:pPr>
      <w:r>
        <w:rPr>
          <w:rFonts w:ascii="仿宋" w:eastAsia="仿宋" w:hAnsi="仿宋" w:cs="仿宋" w:hint="eastAsia"/>
        </w:rPr>
        <w:t>签署保密协议</w:t>
      </w:r>
    </w:p>
    <w:p w14:paraId="1C401D94" w14:textId="77777777" w:rsidR="00732D82" w:rsidRDefault="00732D82">
      <w:pPr>
        <w:ind w:firstLine="480"/>
        <w:rPr>
          <w:rFonts w:ascii="仿宋" w:eastAsia="仿宋" w:hAnsi="仿宋" w:cs="仿宋" w:hint="eastAsia"/>
          <w:sz w:val="24"/>
        </w:rPr>
      </w:pPr>
      <w:r>
        <w:rPr>
          <w:rFonts w:ascii="仿宋" w:eastAsia="仿宋" w:hAnsi="仿宋" w:cs="仿宋" w:hint="eastAsia"/>
          <w:sz w:val="24"/>
        </w:rPr>
        <w:t>测评双方应签署完善的、合乎法律规范的保密协议，以约束测评双方现在及将来的行为。保密协议规定了测评双方保密方面的权利与义务。测评工作的成果属被测评单位所有，测评单位对其的引用与公开应得到被测评单位的授权，否则被测评单位将按照保密协议的要求追究测评单位的法律责任。</w:t>
      </w:r>
    </w:p>
    <w:p w14:paraId="62BB8404" w14:textId="77777777" w:rsidR="00732D82" w:rsidRDefault="00732D82">
      <w:pPr>
        <w:pStyle w:val="2"/>
        <w:ind w:firstLine="482"/>
        <w:rPr>
          <w:rFonts w:ascii="仿宋" w:eastAsia="仿宋" w:hAnsi="仿宋" w:cs="仿宋" w:hint="eastAsia"/>
        </w:rPr>
      </w:pPr>
      <w:r>
        <w:rPr>
          <w:rFonts w:ascii="仿宋" w:eastAsia="仿宋" w:hAnsi="仿宋" w:cs="仿宋" w:hint="eastAsia"/>
        </w:rPr>
        <w:t>签署现场测评授权书</w:t>
      </w:r>
    </w:p>
    <w:p w14:paraId="4EC471B5" w14:textId="77777777" w:rsidR="00732D82" w:rsidRDefault="00732D82">
      <w:pPr>
        <w:ind w:firstLine="480"/>
        <w:rPr>
          <w:rFonts w:ascii="仿宋" w:eastAsia="仿宋" w:hAnsi="仿宋" w:cs="仿宋" w:hint="eastAsia"/>
          <w:sz w:val="24"/>
        </w:rPr>
      </w:pPr>
      <w:r>
        <w:rPr>
          <w:rFonts w:ascii="仿宋" w:eastAsia="仿宋" w:hAnsi="仿宋" w:cs="仿宋" w:hint="eastAsia"/>
          <w:sz w:val="24"/>
        </w:rPr>
        <w:t>在现场测评工作正式开始之前，测评单位与被测评单位需要以测评授权的方</w:t>
      </w:r>
      <w:r>
        <w:rPr>
          <w:rFonts w:ascii="仿宋" w:eastAsia="仿宋" w:hAnsi="仿宋" w:cs="仿宋" w:hint="eastAsia"/>
          <w:sz w:val="24"/>
        </w:rPr>
        <w:lastRenderedPageBreak/>
        <w:t>式明确测评工作中双方的责任，揭示可能的风险等，避免现场测评过程中可能出现的纠纷和分歧。</w:t>
      </w:r>
    </w:p>
    <w:p w14:paraId="614B07F1" w14:textId="77777777" w:rsidR="00732D82" w:rsidRDefault="00732D82">
      <w:pPr>
        <w:pStyle w:val="2"/>
        <w:ind w:firstLine="482"/>
        <w:rPr>
          <w:rFonts w:ascii="仿宋" w:eastAsia="仿宋" w:hAnsi="仿宋" w:cs="仿宋" w:hint="eastAsia"/>
        </w:rPr>
      </w:pPr>
      <w:r>
        <w:rPr>
          <w:rFonts w:ascii="仿宋" w:eastAsia="仿宋" w:hAnsi="仿宋" w:cs="仿宋" w:hint="eastAsia"/>
        </w:rPr>
        <w:t>现场测评工作风险规避</w:t>
      </w:r>
    </w:p>
    <w:p w14:paraId="167C8491" w14:textId="77777777" w:rsidR="00732D82" w:rsidRDefault="00732D82">
      <w:pPr>
        <w:ind w:firstLine="480"/>
        <w:rPr>
          <w:rFonts w:ascii="仿宋" w:eastAsia="仿宋" w:hAnsi="仿宋" w:cs="仿宋" w:hint="eastAsia"/>
          <w:sz w:val="24"/>
        </w:rPr>
      </w:pPr>
      <w:r>
        <w:rPr>
          <w:rFonts w:ascii="仿宋" w:eastAsia="仿宋" w:hAnsi="仿宋" w:cs="仿宋" w:hint="eastAsia"/>
          <w:sz w:val="24"/>
        </w:rPr>
        <w:t>现场测评进行验证测试和工具测试时，测评单位需与被测评单位相关技术人员充分协调，安排好测试时间，尽量避开业务高峰期，在系统资源处于空闲状态时进行，并需要被测评单位对整个测试过程进行监督。在验证测试和工具测试前，被测评单位（或相关方）应对关键数据、系统做好备份工作，并对可能出现的影响制定相应的应急响应方案。上机验证测试原则上由被测评单位相关的技术人员进行操作，避免由于测评人员对某些专用设备不熟悉造成误操作。</w:t>
      </w:r>
    </w:p>
    <w:p w14:paraId="41F66440" w14:textId="77777777" w:rsidR="00732D82" w:rsidRDefault="00732D82">
      <w:pPr>
        <w:ind w:firstLine="480"/>
        <w:rPr>
          <w:rFonts w:ascii="仿宋" w:eastAsia="仿宋" w:hAnsi="仿宋" w:cs="仿宋" w:hint="eastAsia"/>
          <w:sz w:val="24"/>
        </w:rPr>
      </w:pPr>
      <w:r>
        <w:rPr>
          <w:rFonts w:ascii="仿宋" w:eastAsia="仿宋" w:hAnsi="仿宋" w:cs="仿宋" w:hint="eastAsia"/>
          <w:sz w:val="24"/>
        </w:rPr>
        <w:t>使用的测试工具在使用前需要事先告知被测评单位，详细介绍工具的用途以及可能对信息系统造成的影响，征得其同意并书面签字，再进行测试。</w:t>
      </w:r>
    </w:p>
    <w:p w14:paraId="2470C038" w14:textId="77777777" w:rsidR="00732D82" w:rsidRDefault="00732D82">
      <w:pPr>
        <w:pStyle w:val="2"/>
        <w:ind w:firstLine="482"/>
        <w:rPr>
          <w:rFonts w:ascii="仿宋" w:eastAsia="仿宋" w:hAnsi="仿宋" w:cs="仿宋" w:hint="eastAsia"/>
        </w:rPr>
      </w:pPr>
      <w:r>
        <w:rPr>
          <w:rFonts w:ascii="仿宋" w:eastAsia="仿宋" w:hAnsi="仿宋" w:cs="仿宋" w:hint="eastAsia"/>
        </w:rPr>
        <w:t>测评现场还原</w:t>
      </w:r>
    </w:p>
    <w:p w14:paraId="148AFD70" w14:textId="77777777" w:rsidR="00732D82" w:rsidRDefault="00732D82">
      <w:pPr>
        <w:ind w:firstLine="480"/>
        <w:rPr>
          <w:rFonts w:ascii="仿宋" w:eastAsia="仿宋" w:hAnsi="仿宋" w:cs="仿宋" w:hint="eastAsia"/>
          <w:sz w:val="24"/>
        </w:rPr>
      </w:pPr>
      <w:r>
        <w:rPr>
          <w:rFonts w:ascii="仿宋" w:eastAsia="仿宋" w:hAnsi="仿宋" w:cs="仿宋" w:hint="eastAsia"/>
          <w:sz w:val="24"/>
        </w:rPr>
        <w:t>测评工作完成后，测评人员应交回测评过程中获取的所有特权，归还测评过程中借阅的相关资料文档，并严格清理测评过程中植入被测评系统中的相关代码/程序等。</w:t>
      </w:r>
    </w:p>
    <w:p w14:paraId="3329640A" w14:textId="77777777" w:rsidR="00732D82" w:rsidRDefault="00732D82">
      <w:pPr>
        <w:pStyle w:val="2"/>
        <w:ind w:firstLine="482"/>
        <w:rPr>
          <w:rFonts w:ascii="仿宋" w:eastAsia="仿宋" w:hAnsi="仿宋" w:cs="仿宋" w:hint="eastAsia"/>
        </w:rPr>
      </w:pPr>
      <w:bookmarkStart w:id="0" w:name="_Toc23950637"/>
      <w:bookmarkStart w:id="1" w:name="_Toc7567"/>
      <w:bookmarkStart w:id="2" w:name="_Toc26552"/>
      <w:bookmarkStart w:id="3" w:name="_Toc23950638"/>
      <w:r>
        <w:rPr>
          <w:rFonts w:ascii="仿宋" w:eastAsia="仿宋" w:hAnsi="仿宋" w:cs="仿宋" w:hint="eastAsia"/>
        </w:rPr>
        <w:t>规范化的实施过程</w:t>
      </w:r>
      <w:bookmarkEnd w:id="0"/>
      <w:bookmarkEnd w:id="1"/>
    </w:p>
    <w:p w14:paraId="55EFAFDE" w14:textId="77777777" w:rsidR="00732D82" w:rsidRDefault="00732D82">
      <w:pPr>
        <w:ind w:firstLine="480"/>
        <w:rPr>
          <w:rFonts w:ascii="仿宋" w:eastAsia="仿宋" w:hAnsi="仿宋" w:cs="仿宋" w:hint="eastAsia"/>
          <w:sz w:val="24"/>
        </w:rPr>
      </w:pPr>
      <w:r>
        <w:rPr>
          <w:rFonts w:ascii="仿宋" w:eastAsia="仿宋" w:hAnsi="仿宋" w:cs="仿宋" w:hint="eastAsia"/>
          <w:sz w:val="24"/>
        </w:rPr>
        <w:t>为保证按计划、高质量的完成测评工作，需要明确测评记录和测评报告要求，明确测评过程中每一阶段需要产生的相关文档，使测评工作有章可循。</w:t>
      </w:r>
    </w:p>
    <w:p w14:paraId="673AC87D" w14:textId="77777777" w:rsidR="00732D82" w:rsidRDefault="00732D82">
      <w:pPr>
        <w:ind w:firstLine="480"/>
        <w:rPr>
          <w:rFonts w:ascii="仿宋" w:eastAsia="仿宋" w:hAnsi="仿宋" w:cs="仿宋" w:hint="eastAsia"/>
          <w:sz w:val="24"/>
        </w:rPr>
      </w:pPr>
      <w:r>
        <w:rPr>
          <w:rFonts w:ascii="仿宋" w:eastAsia="仿宋" w:hAnsi="仿宋" w:cs="仿宋" w:hint="eastAsia"/>
          <w:sz w:val="24"/>
        </w:rPr>
        <w:t>在现场测评工作正式开始之前，测评单位应在测评方案中需要明确双方的人员职责、测评对象、时间计划、测评内容、工具接入点要求等。</w:t>
      </w:r>
    </w:p>
    <w:p w14:paraId="552A5261" w14:textId="77777777" w:rsidR="00732D82" w:rsidRDefault="00732D82">
      <w:pPr>
        <w:pStyle w:val="2"/>
        <w:ind w:firstLine="482"/>
        <w:rPr>
          <w:rFonts w:ascii="仿宋" w:eastAsia="仿宋" w:hAnsi="仿宋" w:cs="仿宋" w:hint="eastAsia"/>
        </w:rPr>
      </w:pPr>
      <w:r>
        <w:rPr>
          <w:rFonts w:ascii="仿宋" w:eastAsia="仿宋" w:hAnsi="仿宋" w:cs="仿宋" w:hint="eastAsia"/>
        </w:rPr>
        <w:t>沟通与交流</w:t>
      </w:r>
      <w:bookmarkEnd w:id="2"/>
      <w:bookmarkEnd w:id="3"/>
    </w:p>
    <w:p w14:paraId="53A72D73" w14:textId="77777777" w:rsidR="00732D82" w:rsidRDefault="00732D82">
      <w:pPr>
        <w:ind w:firstLine="480"/>
        <w:rPr>
          <w:rFonts w:ascii="仿宋" w:eastAsia="仿宋" w:hAnsi="仿宋" w:cs="仿宋" w:hint="eastAsia"/>
          <w:sz w:val="24"/>
        </w:rPr>
      </w:pPr>
      <w:r>
        <w:rPr>
          <w:rFonts w:ascii="仿宋" w:eastAsia="仿宋" w:hAnsi="仿宋" w:cs="仿宋" w:hint="eastAsia"/>
          <w:sz w:val="24"/>
        </w:rPr>
        <w:t>为避免测评工作中可能出现的争议，在测评开始前与测评过程中，双方需要进行积极有效的沟通和交流，及时解决测评中出现的问题，这对保证测评的过程质量和结果质量有重要的作用。</w:t>
      </w:r>
    </w:p>
    <w:p w14:paraId="4F87894A" w14:textId="77777777" w:rsidR="00732D82" w:rsidRDefault="00732D82">
      <w:pPr>
        <w:pStyle w:val="1"/>
        <w:ind w:firstLine="482"/>
        <w:rPr>
          <w:rFonts w:ascii="仿宋" w:eastAsia="仿宋" w:hAnsi="仿宋" w:cs="仿宋" w:hint="eastAsia"/>
          <w:szCs w:val="24"/>
        </w:rPr>
      </w:pPr>
      <w:r>
        <w:rPr>
          <w:rFonts w:ascii="仿宋" w:eastAsia="仿宋" w:hAnsi="仿宋" w:cs="仿宋" w:hint="eastAsia"/>
          <w:szCs w:val="24"/>
        </w:rPr>
        <w:t>自愿放弃漏洞扫描和渗透测试的安全风险</w:t>
      </w:r>
    </w:p>
    <w:p w14:paraId="1DAAC708" w14:textId="77777777" w:rsidR="00732D82" w:rsidRDefault="00732D82">
      <w:pPr>
        <w:ind w:firstLine="482"/>
        <w:rPr>
          <w:rFonts w:ascii="仿宋" w:eastAsia="仿宋" w:hAnsi="仿宋" w:cs="仿宋" w:hint="eastAsia"/>
          <w:b/>
          <w:bCs/>
          <w:sz w:val="24"/>
        </w:rPr>
      </w:pPr>
      <w:r>
        <w:rPr>
          <w:rFonts w:ascii="仿宋" w:eastAsia="仿宋" w:hAnsi="仿宋" w:cs="仿宋" w:hint="eastAsia"/>
          <w:b/>
          <w:bCs/>
          <w:sz w:val="24"/>
        </w:rPr>
        <w:t>若被测评单位由于自身原因无法开展漏洞扫描、渗透测试，用户应签署自愿放弃漏洞扫描和渗透测试的声明函。</w:t>
      </w:r>
    </w:p>
    <w:p w14:paraId="3BA24E01" w14:textId="77777777" w:rsidR="00732D82" w:rsidRDefault="00732D82">
      <w:pPr>
        <w:ind w:firstLine="480"/>
        <w:rPr>
          <w:rFonts w:ascii="仿宋" w:eastAsia="仿宋" w:hAnsi="仿宋" w:cs="仿宋" w:hint="eastAsia"/>
          <w:sz w:val="24"/>
        </w:rPr>
      </w:pPr>
      <w:r>
        <w:rPr>
          <w:rFonts w:ascii="仿宋" w:eastAsia="仿宋" w:hAnsi="仿宋" w:cs="仿宋" w:hint="eastAsia"/>
          <w:sz w:val="24"/>
        </w:rPr>
        <w:t>自愿放弃漏洞扫描和渗透测试将存在以下安全风险，被测评单位需知晓：</w:t>
      </w:r>
    </w:p>
    <w:p w14:paraId="5C975CDF" w14:textId="77777777" w:rsidR="00732D82" w:rsidRDefault="00732D82">
      <w:pPr>
        <w:numPr>
          <w:ilvl w:val="0"/>
          <w:numId w:val="2"/>
        </w:numPr>
        <w:ind w:firstLineChars="0"/>
        <w:rPr>
          <w:rFonts w:ascii="仿宋" w:eastAsia="仿宋" w:hAnsi="仿宋" w:cs="仿宋" w:hint="eastAsia"/>
          <w:sz w:val="24"/>
        </w:rPr>
      </w:pPr>
      <w:r>
        <w:rPr>
          <w:rFonts w:ascii="仿宋" w:eastAsia="仿宋" w:hAnsi="仿宋" w:cs="仿宋" w:hint="eastAsia"/>
          <w:sz w:val="24"/>
        </w:rPr>
        <w:t>未开展漏洞扫描和渗透测试，可能会导致被测评系统面临各种安全风</w:t>
      </w:r>
      <w:r>
        <w:rPr>
          <w:rFonts w:ascii="仿宋" w:eastAsia="仿宋" w:hAnsi="仿宋" w:cs="仿宋" w:hint="eastAsia"/>
          <w:sz w:val="24"/>
        </w:rPr>
        <w:lastRenderedPageBreak/>
        <w:t>险，包括SQL注入、跨站脚本攻击、跨站请求伪造、未经身份验证的访问以及敏感数据泄露等。</w:t>
      </w:r>
    </w:p>
    <w:p w14:paraId="35D2AF0E" w14:textId="77777777" w:rsidR="00732D82" w:rsidRDefault="00732D82">
      <w:pPr>
        <w:numPr>
          <w:ilvl w:val="0"/>
          <w:numId w:val="2"/>
        </w:numPr>
        <w:ind w:firstLineChars="0"/>
        <w:rPr>
          <w:rFonts w:ascii="仿宋" w:eastAsia="仿宋" w:hAnsi="仿宋" w:cs="仿宋" w:hint="eastAsia"/>
          <w:sz w:val="24"/>
        </w:rPr>
      </w:pPr>
      <w:r>
        <w:rPr>
          <w:rFonts w:ascii="仿宋" w:eastAsia="仿宋" w:hAnsi="仿宋" w:cs="仿宋" w:hint="eastAsia"/>
          <w:sz w:val="24"/>
        </w:rPr>
        <w:t>未对目标系统进行扫描、探测等操作，使其产生特定的响应等活动，可能无法通过查看、分析响应结果获取证据，证明安全保护措施是否得到了有效实施。</w:t>
      </w:r>
    </w:p>
    <w:p w14:paraId="6E926FF8" w14:textId="77777777" w:rsidR="00732D82" w:rsidRDefault="00732D82">
      <w:pPr>
        <w:numPr>
          <w:ilvl w:val="0"/>
          <w:numId w:val="2"/>
        </w:numPr>
        <w:ind w:firstLineChars="0"/>
        <w:rPr>
          <w:rFonts w:ascii="仿宋" w:eastAsia="仿宋" w:hAnsi="仿宋" w:cs="仿宋" w:hint="eastAsia"/>
          <w:sz w:val="24"/>
        </w:rPr>
      </w:pPr>
      <w:r>
        <w:rPr>
          <w:rFonts w:ascii="仿宋" w:eastAsia="仿宋" w:hAnsi="仿宋" w:cs="仿宋" w:hint="eastAsia"/>
          <w:sz w:val="24"/>
        </w:rPr>
        <w:t>未开展漏洞扫描和渗透测试，可能无法快速、深入地对目标系统进行安全检测，无法直接获取目标系统本身存在的操作系统、应用等方面的漏洞，无法在不同的区域进行探测来判断不同区域之间的访问控制策略情况。</w:t>
      </w:r>
    </w:p>
    <w:p w14:paraId="02DE6CAB" w14:textId="77777777" w:rsidR="00732D82" w:rsidRDefault="00732D82">
      <w:pPr>
        <w:numPr>
          <w:ilvl w:val="0"/>
          <w:numId w:val="2"/>
        </w:numPr>
        <w:ind w:firstLineChars="0"/>
        <w:rPr>
          <w:rFonts w:ascii="仿宋" w:eastAsia="仿宋" w:hAnsi="仿宋" w:cs="仿宋" w:hint="eastAsia"/>
          <w:sz w:val="24"/>
        </w:rPr>
      </w:pPr>
      <w:r>
        <w:rPr>
          <w:rFonts w:ascii="仿宋" w:eastAsia="仿宋" w:hAnsi="仿宋" w:cs="仿宋" w:hint="eastAsia"/>
          <w:sz w:val="24"/>
        </w:rPr>
        <w:t>未开展漏洞扫描和渗透测试，将无法与其他核查手段结合，可能无法辅助验证设备安全策略的有效性或存在的缺陷，无法为相关测试结果提供客观性和准确性的保证。</w:t>
      </w:r>
    </w:p>
    <w:p w14:paraId="29FB7B11" w14:textId="77777777" w:rsidR="00732D82" w:rsidRDefault="00732D82">
      <w:pPr>
        <w:ind w:firstLine="482"/>
        <w:rPr>
          <w:rFonts w:ascii="仿宋" w:eastAsia="仿宋" w:hAnsi="仿宋" w:cs="仿宋" w:hint="eastAsia"/>
          <w:b/>
          <w:bCs/>
          <w:sz w:val="24"/>
        </w:rPr>
      </w:pPr>
      <w:r>
        <w:rPr>
          <w:rFonts w:ascii="仿宋" w:eastAsia="仿宋" w:hAnsi="仿宋" w:cs="仿宋" w:hint="eastAsia"/>
          <w:b/>
          <w:bCs/>
          <w:sz w:val="24"/>
        </w:rPr>
        <w:t>注意：面向互联网开放的系统不得放弃漏洞扫描或渗透测试！</w:t>
      </w:r>
    </w:p>
    <w:p w14:paraId="2FAD15B1" w14:textId="77777777" w:rsidR="00732D82" w:rsidRDefault="00732D82">
      <w:pPr>
        <w:ind w:firstLine="480"/>
        <w:rPr>
          <w:rFonts w:ascii="仿宋" w:eastAsia="仿宋" w:hAnsi="仿宋" w:cs="仿宋" w:hint="eastAsia"/>
          <w:sz w:val="24"/>
        </w:rPr>
      </w:pPr>
      <w:r>
        <w:rPr>
          <w:rFonts w:ascii="仿宋" w:eastAsia="仿宋" w:hAnsi="仿宋" w:cs="仿宋" w:hint="eastAsia"/>
          <w:sz w:val="24"/>
        </w:rPr>
        <w:t>为了提高系统的安全性，我们建议被测评单位采取一系列的解决方案，包括使用安全漏洞扫描工具、实施输入验证和过滤、强化身份认证和授权、加密与传输敏感数据、强化系统安全设置、进行安全意识培训以及定期更新补丁等。</w:t>
      </w:r>
    </w:p>
    <w:p w14:paraId="1E2601F7" w14:textId="77777777" w:rsidR="00732D82" w:rsidRDefault="00732D82">
      <w:pPr>
        <w:pStyle w:val="1"/>
        <w:ind w:firstLine="482"/>
        <w:rPr>
          <w:rFonts w:ascii="仿宋" w:eastAsia="仿宋" w:hAnsi="仿宋" w:cs="仿宋" w:hint="eastAsia"/>
          <w:szCs w:val="24"/>
        </w:rPr>
      </w:pPr>
      <w:r>
        <w:rPr>
          <w:rFonts w:ascii="仿宋" w:eastAsia="仿宋" w:hAnsi="仿宋" w:cs="仿宋" w:hint="eastAsia"/>
          <w:szCs w:val="24"/>
        </w:rPr>
        <w:t>免责范围：</w:t>
      </w:r>
    </w:p>
    <w:p w14:paraId="33263254" w14:textId="77777777" w:rsidR="00732D82" w:rsidRDefault="00732D82">
      <w:pPr>
        <w:ind w:firstLine="480"/>
        <w:rPr>
          <w:rFonts w:ascii="仿宋" w:eastAsia="仿宋" w:hAnsi="仿宋" w:cs="仿宋" w:hint="eastAsia"/>
          <w:sz w:val="24"/>
        </w:rPr>
      </w:pPr>
      <w:r>
        <w:rPr>
          <w:rFonts w:ascii="仿宋" w:eastAsia="仿宋" w:hAnsi="仿宋" w:cs="仿宋" w:hint="eastAsia"/>
          <w:sz w:val="24"/>
        </w:rPr>
        <w:t xml:space="preserve">1、因不可抗力而造成的； </w:t>
      </w:r>
    </w:p>
    <w:p w14:paraId="5B6592EF" w14:textId="77777777" w:rsidR="00732D82" w:rsidRDefault="00732D82">
      <w:pPr>
        <w:ind w:firstLine="480"/>
        <w:rPr>
          <w:rFonts w:ascii="仿宋" w:eastAsia="仿宋" w:hAnsi="仿宋" w:cs="仿宋" w:hint="eastAsia"/>
          <w:sz w:val="24"/>
        </w:rPr>
      </w:pPr>
      <w:r>
        <w:rPr>
          <w:rFonts w:ascii="仿宋" w:eastAsia="仿宋" w:hAnsi="仿宋" w:cs="仿宋" w:hint="eastAsia"/>
          <w:sz w:val="24"/>
        </w:rPr>
        <w:t xml:space="preserve">2、因意外事件而产生的；  </w:t>
      </w:r>
    </w:p>
    <w:p w14:paraId="62C2D388" w14:textId="77777777" w:rsidR="00732D82" w:rsidRDefault="00732D82">
      <w:pPr>
        <w:ind w:firstLine="480"/>
        <w:rPr>
          <w:rFonts w:ascii="仿宋" w:eastAsia="仿宋" w:hAnsi="仿宋" w:cs="仿宋" w:hint="eastAsia"/>
          <w:sz w:val="24"/>
        </w:rPr>
      </w:pPr>
      <w:r>
        <w:rPr>
          <w:rFonts w:ascii="仿宋" w:eastAsia="仿宋" w:hAnsi="仿宋" w:cs="仿宋" w:hint="eastAsia"/>
          <w:sz w:val="24"/>
        </w:rPr>
        <w:t>3、由于第三人的过错或犯罪行为造成的；</w:t>
      </w:r>
    </w:p>
    <w:p w14:paraId="6739FA25" w14:textId="77777777" w:rsidR="00732D82" w:rsidRDefault="00732D82">
      <w:pPr>
        <w:ind w:firstLine="480"/>
        <w:rPr>
          <w:rFonts w:ascii="仿宋" w:eastAsia="仿宋" w:hAnsi="仿宋" w:cs="仿宋" w:hint="eastAsia"/>
          <w:sz w:val="24"/>
        </w:rPr>
      </w:pPr>
      <w:r>
        <w:rPr>
          <w:rFonts w:ascii="仿宋" w:eastAsia="仿宋" w:hAnsi="仿宋" w:cs="仿宋" w:hint="eastAsia"/>
          <w:sz w:val="24"/>
        </w:rPr>
        <w:t>4、因委托方故意或过失造成的；</w:t>
      </w:r>
    </w:p>
    <w:p w14:paraId="363E534E" w14:textId="77777777" w:rsidR="00732D82" w:rsidRDefault="00732D82">
      <w:pPr>
        <w:ind w:firstLine="480"/>
      </w:pPr>
      <w:r>
        <w:rPr>
          <w:rFonts w:ascii="仿宋" w:eastAsia="仿宋" w:hAnsi="仿宋" w:cs="仿宋" w:hint="eastAsia"/>
          <w:sz w:val="24"/>
        </w:rPr>
        <w:t>5、因委托方自身风险造成的。</w:t>
      </w:r>
    </w:p>
    <w:tbl>
      <w:tblPr>
        <w:tblStyle w:val="ab"/>
        <w:tblW w:w="8106" w:type="dxa"/>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000" w:firstRow="0" w:lastRow="0" w:firstColumn="0" w:lastColumn="0" w:noHBand="0" w:noVBand="0"/>
      </w:tblPr>
      <w:tblGrid>
        <w:gridCol w:w="4053"/>
        <w:gridCol w:w="4053"/>
      </w:tblGrid>
      <w:tr w:rsidR="00121225" w14:paraId="4269BBD7" w14:textId="77777777">
        <w:trPr>
          <w:trHeight w:val="838"/>
          <w:jc w:val="center"/>
        </w:trPr>
        <w:tc>
          <w:tcPr>
            <w:tcW w:w="4053" w:type="dxa"/>
            <w:vAlign w:val="center"/>
          </w:tcPr>
          <w:p w14:paraId="100EA677" w14:textId="68519279" w:rsidR="00732D82" w:rsidRDefault="00732D82">
            <w:pPr>
              <w:pStyle w:val="a0"/>
              <w:ind w:firstLineChars="0" w:firstLine="0"/>
              <w:rPr>
                <w:rFonts w:ascii="仿宋" w:eastAsia="仿宋" w:hAnsi="仿宋" w:cs="仿宋" w:hint="eastAsia"/>
                <w:sz w:val="24"/>
              </w:rPr>
            </w:pPr>
            <w:r>
              <w:rPr>
                <w:rFonts w:ascii="仿宋" w:eastAsia="仿宋" w:hAnsi="仿宋" w:cs="仿宋" w:hint="eastAsia"/>
                <w:sz w:val="24"/>
              </w:rPr>
              <w:t>被测评单位：</w:t>
            </w:r>
            <w:r w:rsidR="00971906">
              <w:rPr>
                <w:rFonts w:ascii="仿宋" w:eastAsia="仿宋" w:hAnsi="仿宋" w:cs="仿宋" w:hint="eastAsia"/>
                <w:bCs/>
                <w:sz w:val="24"/>
              </w:rPr>
              <w:t>XX单位</w:t>
            </w:r>
          </w:p>
        </w:tc>
        <w:tc>
          <w:tcPr>
            <w:tcW w:w="4053" w:type="dxa"/>
            <w:vAlign w:val="center"/>
          </w:tcPr>
          <w:p w14:paraId="1D14CF84" w14:textId="77777777" w:rsidR="00732D82" w:rsidRDefault="00732D82">
            <w:pPr>
              <w:pStyle w:val="a0"/>
              <w:ind w:firstLineChars="0" w:firstLine="0"/>
              <w:rPr>
                <w:rFonts w:ascii="仿宋" w:eastAsia="仿宋" w:hAnsi="仿宋" w:cs="仿宋" w:hint="eastAsia"/>
                <w:sz w:val="24"/>
              </w:rPr>
            </w:pPr>
            <w:r>
              <w:rPr>
                <w:rFonts w:ascii="仿宋" w:eastAsia="仿宋" w:hAnsi="仿宋" w:cs="仿宋" w:hint="eastAsia"/>
                <w:sz w:val="24"/>
              </w:rPr>
              <w:t>测评单位：</w:t>
            </w:r>
            <w:r>
              <w:rPr>
                <w:rFonts w:ascii="仿宋" w:eastAsia="仿宋" w:hAnsi="仿宋" w:cs="仿宋" w:hint="eastAsia"/>
                <w:bCs/>
                <w:sz w:val="24"/>
              </w:rPr>
              <w:t>安工检测服务（河北）有限公司</w:t>
            </w:r>
          </w:p>
        </w:tc>
      </w:tr>
      <w:tr w:rsidR="00121225" w14:paraId="6D89A80B" w14:textId="77777777">
        <w:trPr>
          <w:trHeight w:val="938"/>
          <w:jc w:val="center"/>
        </w:trPr>
        <w:tc>
          <w:tcPr>
            <w:tcW w:w="4053" w:type="dxa"/>
            <w:vAlign w:val="center"/>
          </w:tcPr>
          <w:p w14:paraId="6D580C7B" w14:textId="77777777" w:rsidR="00732D82" w:rsidRDefault="00732D82">
            <w:pPr>
              <w:pStyle w:val="a0"/>
              <w:ind w:firstLineChars="0" w:firstLine="0"/>
              <w:rPr>
                <w:rFonts w:ascii="仿宋" w:eastAsia="仿宋" w:hAnsi="仿宋" w:cs="仿宋" w:hint="eastAsia"/>
                <w:sz w:val="24"/>
              </w:rPr>
            </w:pPr>
            <w:r>
              <w:rPr>
                <w:rFonts w:ascii="仿宋" w:eastAsia="仿宋" w:hAnsi="仿宋" w:cs="仿宋" w:hint="eastAsia"/>
                <w:sz w:val="24"/>
              </w:rPr>
              <w:t>项目负责人/授权代表人：</w:t>
            </w:r>
          </w:p>
        </w:tc>
        <w:tc>
          <w:tcPr>
            <w:tcW w:w="4053" w:type="dxa"/>
            <w:vAlign w:val="center"/>
          </w:tcPr>
          <w:p w14:paraId="65E3C1AB" w14:textId="77777777" w:rsidR="00732D82" w:rsidRDefault="00732D82">
            <w:pPr>
              <w:pStyle w:val="a0"/>
              <w:ind w:firstLineChars="0" w:firstLine="0"/>
              <w:rPr>
                <w:rFonts w:ascii="仿宋" w:eastAsia="仿宋" w:hAnsi="仿宋" w:cs="仿宋" w:hint="eastAsia"/>
                <w:sz w:val="24"/>
              </w:rPr>
            </w:pPr>
            <w:r>
              <w:rPr>
                <w:rFonts w:ascii="仿宋" w:eastAsia="仿宋" w:hAnsi="仿宋" w:cs="仿宋" w:hint="eastAsia"/>
                <w:bCs/>
                <w:sz w:val="24"/>
              </w:rPr>
              <w:t>测评项目组组长：</w:t>
            </w:r>
          </w:p>
        </w:tc>
      </w:tr>
      <w:tr w:rsidR="00121225" w14:paraId="5C8C8C60" w14:textId="77777777">
        <w:trPr>
          <w:trHeight w:val="838"/>
          <w:jc w:val="center"/>
        </w:trPr>
        <w:tc>
          <w:tcPr>
            <w:tcW w:w="4053" w:type="dxa"/>
            <w:vAlign w:val="center"/>
          </w:tcPr>
          <w:p w14:paraId="55008F8D" w14:textId="77777777" w:rsidR="00732D82" w:rsidRDefault="00732D82">
            <w:pPr>
              <w:pStyle w:val="a0"/>
              <w:ind w:firstLineChars="0" w:firstLine="0"/>
              <w:rPr>
                <w:rFonts w:ascii="仿宋" w:eastAsia="仿宋" w:hAnsi="仿宋" w:cs="仿宋" w:hint="eastAsia"/>
                <w:sz w:val="24"/>
              </w:rPr>
            </w:pPr>
            <w:r>
              <w:rPr>
                <w:rFonts w:ascii="仿宋" w:eastAsia="仿宋" w:hAnsi="仿宋" w:cs="仿宋" w:hint="eastAsia"/>
                <w:sz w:val="24"/>
              </w:rPr>
              <w:t>日期：</w:t>
            </w:r>
          </w:p>
        </w:tc>
        <w:tc>
          <w:tcPr>
            <w:tcW w:w="4053" w:type="dxa"/>
            <w:vAlign w:val="center"/>
          </w:tcPr>
          <w:p w14:paraId="1190013F" w14:textId="77777777" w:rsidR="00732D82" w:rsidRDefault="00732D82">
            <w:pPr>
              <w:pStyle w:val="a0"/>
              <w:ind w:firstLineChars="0" w:firstLine="0"/>
              <w:rPr>
                <w:rFonts w:ascii="仿宋" w:eastAsia="仿宋" w:hAnsi="仿宋" w:cs="仿宋" w:hint="eastAsia"/>
                <w:sz w:val="24"/>
              </w:rPr>
            </w:pPr>
            <w:r>
              <w:rPr>
                <w:rFonts w:ascii="仿宋" w:eastAsia="仿宋" w:hAnsi="仿宋" w:cs="仿宋" w:hint="eastAsia"/>
                <w:sz w:val="24"/>
              </w:rPr>
              <w:t>日期：</w:t>
            </w:r>
          </w:p>
        </w:tc>
      </w:tr>
    </w:tbl>
    <w:p w14:paraId="16F22B73" w14:textId="77777777" w:rsidR="00732D82" w:rsidRDefault="00732D82">
      <w:pPr>
        <w:pStyle w:val="a0"/>
        <w:ind w:firstLine="420"/>
      </w:pPr>
    </w:p>
    <w:sectPr w:rsidR="00732D82">
      <w:headerReference w:type="even" r:id="rId7"/>
      <w:headerReference w:type="default" r:id="rId8"/>
      <w:footerReference w:type="even" r:id="rId9"/>
      <w:footerReference w:type="default" r:id="rId10"/>
      <w:headerReference w:type="first" r:id="rId11"/>
      <w:footerReference w:type="first" r:id="rId12"/>
      <w:pgSz w:w="11906" w:h="16838"/>
      <w:pgMar w:top="1440" w:right="1800" w:bottom="1440" w:left="1800" w:header="851" w:footer="992" w:gutter="0"/>
      <w:pgNumType w:start="1"/>
      <w:cols w:space="720"/>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AE2C8BA" w14:textId="77777777" w:rsidR="00732D82" w:rsidRDefault="00732D82">
      <w:pPr>
        <w:spacing w:line="240" w:lineRule="auto"/>
        <w:ind w:firstLine="420"/>
      </w:pPr>
      <w:r>
        <w:separator/>
      </w:r>
    </w:p>
  </w:endnote>
  <w:endnote w:type="continuationSeparator" w:id="0">
    <w:p w14:paraId="2C7E211F" w14:textId="77777777" w:rsidR="00732D82" w:rsidRDefault="00732D82">
      <w:pPr>
        <w:spacing w:line="240" w:lineRule="auto"/>
        <w:ind w:firstLine="42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黑体">
    <w:altName w:val="SimHei"/>
    <w:panose1 w:val="02010609060101010101"/>
    <w:charset w:val="86"/>
    <w:family w:val="modern"/>
    <w:pitch w:val="fixed"/>
    <w:sig w:usb0="800002BF" w:usb1="38CF7CFA" w:usb2="00000016" w:usb3="00000000" w:csb0="00040001" w:csb1="00000000"/>
  </w:font>
  <w:font w:name="Cambria">
    <w:panose1 w:val="02040503050406030204"/>
    <w:charset w:val="00"/>
    <w:family w:val="roman"/>
    <w:pitch w:val="variable"/>
    <w:sig w:usb0="E00006FF" w:usb1="420024FF" w:usb2="02000000" w:usb3="00000000" w:csb0="0000019F" w:csb1="00000000"/>
  </w:font>
  <w:font w:name="仿宋">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 w:name="等线">
    <w:altName w:val="DengXian"/>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F095F63" w14:textId="77777777" w:rsidR="00732D82" w:rsidRDefault="00732D82">
    <w:pPr>
      <w:pStyle w:val="a7"/>
      <w:ind w:firstLine="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AD9D4C" w14:textId="77777777" w:rsidR="00732D82" w:rsidRDefault="00971906">
    <w:pPr>
      <w:pStyle w:val="a7"/>
      <w:ind w:firstLineChars="0" w:firstLine="0"/>
    </w:pPr>
    <w:r>
      <w:pict w14:anchorId="690C7A40">
        <v:shapetype id="_x0000_t202" coordsize="21600,21600" o:spt="202" path="m,l,21600r21600,l21600,xe">
          <v:stroke joinstyle="miter"/>
          <v:path gradientshapeok="t" o:connecttype="rect"/>
        </v:shapetype>
        <v:shape id="文本框 1" o:spid="_x0000_s2049" type="#_x0000_t202" style="position:absolute;margin-left:185.6pt;margin-top:0;width:2in;height:2in;z-index:251657728;mso-wrap-style:none;mso-position-horizontal:right;mso-position-horizontal-relative:margin;v-text-anchor:top" filled="f" stroked="f">
          <v:fill o:detectmouseclick="t"/>
          <v:textbox style="mso-fit-shape-to-text:t" inset="0,0,0,0">
            <w:txbxContent>
              <w:p w14:paraId="1EBAE795" w14:textId="77777777" w:rsidR="00732D82" w:rsidRDefault="00732D82">
                <w:pPr>
                  <w:pStyle w:val="a7"/>
                  <w:ind w:firstLine="360"/>
                </w:pPr>
                <w:r>
                  <w:t>第</w:t>
                </w:r>
                <w:r>
                  <w:t xml:space="preserve"> </w:t>
                </w:r>
                <w:r>
                  <w:fldChar w:fldCharType="begin"/>
                </w:r>
                <w:r>
                  <w:instrText xml:space="preserve"> PAGE  \* MERGEFORMAT </w:instrText>
                </w:r>
                <w:r>
                  <w:fldChar w:fldCharType="separate"/>
                </w:r>
                <w:r>
                  <w:t>1</w:t>
                </w:r>
                <w:r>
                  <w:fldChar w:fldCharType="end"/>
                </w:r>
                <w:r>
                  <w:t xml:space="preserve"> </w:t>
                </w:r>
                <w:r>
                  <w:t>页</w:t>
                </w:r>
                <w:r>
                  <w:t xml:space="preserve"> </w:t>
                </w:r>
                <w:r>
                  <w:t>共</w:t>
                </w:r>
                <w:r>
                  <w:t xml:space="preserve"> </w:t>
                </w:r>
                <w:fldSimple w:instr=" NUMPAGES  \* MERGEFORMAT ">
                  <w:r>
                    <w:t>2</w:t>
                  </w:r>
                </w:fldSimple>
                <w:r>
                  <w:t xml:space="preserve"> </w:t>
                </w:r>
                <w:r>
                  <w:t>页</w:t>
                </w:r>
              </w:p>
            </w:txbxContent>
          </v:textbox>
          <w10:wrap anchorx="margin"/>
        </v:shape>
      </w:pic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3C2F7E3" w14:textId="77777777" w:rsidR="00732D82" w:rsidRDefault="00732D82">
    <w:pPr>
      <w:pStyle w:val="a7"/>
      <w:ind w:firstLine="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A757839" w14:textId="77777777" w:rsidR="00732D82" w:rsidRDefault="00732D82">
      <w:pPr>
        <w:spacing w:line="240" w:lineRule="auto"/>
        <w:ind w:firstLine="420"/>
      </w:pPr>
      <w:r>
        <w:separator/>
      </w:r>
    </w:p>
  </w:footnote>
  <w:footnote w:type="continuationSeparator" w:id="0">
    <w:p w14:paraId="575E6F59" w14:textId="77777777" w:rsidR="00732D82" w:rsidRDefault="00732D82">
      <w:pPr>
        <w:spacing w:line="240" w:lineRule="auto"/>
        <w:ind w:firstLine="42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5BEE236" w14:textId="77777777" w:rsidR="00732D82" w:rsidRDefault="00732D82">
    <w:pPr>
      <w:pStyle w:val="a9"/>
      <w:ind w:firstLine="36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C980966" w14:textId="77777777" w:rsidR="00732D82" w:rsidRDefault="00732D82">
    <w:pPr>
      <w:pStyle w:val="a9"/>
      <w:pBdr>
        <w:bottom w:val="single" w:sz="4" w:space="1" w:color="auto"/>
      </w:pBdr>
      <w:spacing w:line="240" w:lineRule="auto"/>
      <w:ind w:firstLineChars="0" w:firstLine="0"/>
      <w:jc w:val="both"/>
      <w:rPr>
        <w:rFonts w:ascii="仿宋" w:eastAsia="仿宋" w:hAnsi="仿宋" w:cs="仿宋" w:hint="eastAsia"/>
        <w:sz w:val="21"/>
        <w:szCs w:val="21"/>
      </w:rPr>
    </w:pPr>
  </w:p>
  <w:p w14:paraId="7FAD6365" w14:textId="77777777" w:rsidR="00732D82" w:rsidRDefault="00732D82">
    <w:pPr>
      <w:pStyle w:val="a9"/>
      <w:pBdr>
        <w:bottom w:val="single" w:sz="4" w:space="1" w:color="auto"/>
      </w:pBdr>
      <w:spacing w:line="240" w:lineRule="auto"/>
      <w:ind w:firstLineChars="0" w:firstLine="0"/>
      <w:jc w:val="both"/>
      <w:rPr>
        <w:sz w:val="21"/>
        <w:szCs w:val="21"/>
      </w:rPr>
    </w:pPr>
    <w:r>
      <w:rPr>
        <w:rFonts w:ascii="仿宋" w:eastAsia="仿宋" w:hAnsi="仿宋" w:cs="仿宋" w:hint="eastAsia"/>
        <w:sz w:val="21"/>
        <w:szCs w:val="21"/>
      </w:rPr>
      <w:t>安工检测服务（河北）有限公司                          文档编号：</w:t>
    </w:r>
    <w:r>
      <w:rPr>
        <w:rFonts w:ascii="仿宋" w:eastAsia="仿宋" w:hAnsi="仿宋" w:cs="仿宋" w:hint="eastAsia"/>
        <w:color w:val="000000"/>
        <w:kern w:val="0"/>
        <w:sz w:val="21"/>
        <w:szCs w:val="21"/>
      </w:rPr>
      <w:t>AG-XM-007-2025</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289E315" w14:textId="77777777" w:rsidR="00732D82" w:rsidRDefault="00732D82">
    <w:pPr>
      <w:pStyle w:val="a9"/>
      <w:ind w:firstLine="360"/>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929EB26"/>
    <w:multiLevelType w:val="multilevel"/>
    <w:tmpl w:val="F929EB26"/>
    <w:lvl w:ilvl="0">
      <w:start w:val="1"/>
      <w:numFmt w:val="chineseCounting"/>
      <w:pStyle w:val="1"/>
      <w:suff w:val="nothing"/>
      <w:lvlText w:val="%1、"/>
      <w:lvlJc w:val="left"/>
      <w:pPr>
        <w:ind w:left="0" w:firstLine="0"/>
      </w:pPr>
      <w:rPr>
        <w:rFonts w:hint="eastAsia"/>
      </w:rPr>
    </w:lvl>
    <w:lvl w:ilvl="1">
      <w:start w:val="1"/>
      <w:numFmt w:val="chineseCounting"/>
      <w:pStyle w:val="2"/>
      <w:suff w:val="nothing"/>
      <w:lvlText w:val="（%2）"/>
      <w:lvlJc w:val="left"/>
      <w:pPr>
        <w:ind w:left="0" w:firstLine="0"/>
      </w:pPr>
      <w:rPr>
        <w:rFonts w:hint="eastAsia"/>
      </w:rPr>
    </w:lvl>
    <w:lvl w:ilvl="2">
      <w:start w:val="1"/>
      <w:numFmt w:val="decimal"/>
      <w:pStyle w:val="3"/>
      <w:suff w:val="nothing"/>
      <w:lvlText w:val="%3．"/>
      <w:lvlJc w:val="left"/>
      <w:pPr>
        <w:ind w:left="0" w:firstLine="400"/>
      </w:pPr>
      <w:rPr>
        <w:rFonts w:hint="eastAsia"/>
      </w:rPr>
    </w:lvl>
    <w:lvl w:ilvl="3">
      <w:start w:val="1"/>
      <w:numFmt w:val="decimal"/>
      <w:pStyle w:val="4"/>
      <w:suff w:val="nothing"/>
      <w:lvlText w:val="（%4）"/>
      <w:lvlJc w:val="left"/>
      <w:pPr>
        <w:ind w:left="0" w:firstLine="402"/>
      </w:pPr>
      <w:rPr>
        <w:rFonts w:hint="eastAsia"/>
      </w:rPr>
    </w:lvl>
    <w:lvl w:ilvl="4">
      <w:start w:val="1"/>
      <w:numFmt w:val="decimalEnclosedCircleChinese"/>
      <w:pStyle w:val="5"/>
      <w:suff w:val="nothing"/>
      <w:lvlText w:val="%5"/>
      <w:lvlJc w:val="left"/>
      <w:pPr>
        <w:ind w:left="0" w:firstLine="402"/>
      </w:pPr>
      <w:rPr>
        <w:rFonts w:hint="eastAsia"/>
      </w:rPr>
    </w:lvl>
    <w:lvl w:ilvl="5">
      <w:start w:val="1"/>
      <w:numFmt w:val="decimal"/>
      <w:pStyle w:val="6"/>
      <w:suff w:val="nothing"/>
      <w:lvlText w:val="%6）"/>
      <w:lvlJc w:val="left"/>
      <w:pPr>
        <w:ind w:left="0" w:firstLine="402"/>
      </w:pPr>
      <w:rPr>
        <w:rFonts w:hint="eastAsia"/>
      </w:rPr>
    </w:lvl>
    <w:lvl w:ilvl="6">
      <w:start w:val="1"/>
      <w:numFmt w:val="lowerLetter"/>
      <w:pStyle w:val="7"/>
      <w:suff w:val="nothing"/>
      <w:lvlText w:val="%7．"/>
      <w:lvlJc w:val="left"/>
      <w:pPr>
        <w:ind w:left="0" w:firstLine="402"/>
      </w:pPr>
      <w:rPr>
        <w:rFonts w:hint="eastAsia"/>
      </w:rPr>
    </w:lvl>
    <w:lvl w:ilvl="7">
      <w:start w:val="1"/>
      <w:numFmt w:val="lowerLetter"/>
      <w:pStyle w:val="8"/>
      <w:suff w:val="nothing"/>
      <w:lvlText w:val="%8）"/>
      <w:lvlJc w:val="left"/>
      <w:pPr>
        <w:ind w:left="0" w:firstLine="402"/>
      </w:pPr>
      <w:rPr>
        <w:rFonts w:hint="eastAsia"/>
      </w:rPr>
    </w:lvl>
    <w:lvl w:ilvl="8">
      <w:start w:val="1"/>
      <w:numFmt w:val="lowerRoman"/>
      <w:pStyle w:val="9"/>
      <w:suff w:val="nothing"/>
      <w:lvlText w:val="%9 "/>
      <w:lvlJc w:val="left"/>
      <w:pPr>
        <w:ind w:left="0" w:firstLine="402"/>
      </w:pPr>
      <w:rPr>
        <w:rFonts w:hint="eastAsia"/>
      </w:rPr>
    </w:lvl>
  </w:abstractNum>
  <w:abstractNum w:abstractNumId="1" w15:restartNumberingAfterBreak="0">
    <w:nsid w:val="67402CDD"/>
    <w:multiLevelType w:val="singleLevel"/>
    <w:tmpl w:val="67402CDD"/>
    <w:lvl w:ilvl="0">
      <w:start w:val="1"/>
      <w:numFmt w:val="chineseCounting"/>
      <w:suff w:val="nothing"/>
      <w:lvlText w:val="（%1）"/>
      <w:lvlJc w:val="left"/>
      <w:pPr>
        <w:ind w:left="0" w:firstLine="420"/>
      </w:pPr>
      <w:rPr>
        <w:rFonts w:hint="eastAsia"/>
      </w:rPr>
    </w:lvl>
  </w:abstractNum>
  <w:num w:numId="1" w16cid:durableId="807211159">
    <w:abstractNumId w:val="0"/>
  </w:num>
  <w:num w:numId="2" w16cid:durableId="33727121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NotTrackMoves/>
  <w:defaultTabStop w:val="420"/>
  <w:drawingGridVerticalSpacing w:val="156"/>
  <w:displayHorizontalDrawingGridEvery w:val="0"/>
  <w:displayVerticalDrawingGridEvery w:val="2"/>
  <w:characterSpacingControl w:val="compressPunctuation"/>
  <w:hdrShapeDefaults>
    <o:shapedefaults v:ext="edit" spidmax="2051"/>
    <o:shapelayout v:ext="edit">
      <o:idmap v:ext="edit" data="2"/>
    </o:shapelayout>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docVars>
    <w:docVar w:name="commondata" w:val="eyJoZGlkIjoiYWU2ZDlkY2M4M2MzMTkwYjNjNDQ1NTY0MjYzNWZhNzIifQ=="/>
  </w:docVars>
  <w:rsids>
    <w:rsidRoot w:val="00EA6E1D"/>
    <w:rsid w:val="000323A6"/>
    <w:rsid w:val="00121225"/>
    <w:rsid w:val="00214284"/>
    <w:rsid w:val="00432AFC"/>
    <w:rsid w:val="00715266"/>
    <w:rsid w:val="00732D82"/>
    <w:rsid w:val="008D0CC0"/>
    <w:rsid w:val="0092255F"/>
    <w:rsid w:val="00943358"/>
    <w:rsid w:val="00971906"/>
    <w:rsid w:val="009734E3"/>
    <w:rsid w:val="00AB778E"/>
    <w:rsid w:val="00B61265"/>
    <w:rsid w:val="00B8225E"/>
    <w:rsid w:val="00BE72E8"/>
    <w:rsid w:val="00CE4FEE"/>
    <w:rsid w:val="00E0473F"/>
    <w:rsid w:val="00E81DE7"/>
    <w:rsid w:val="00E923DF"/>
    <w:rsid w:val="00EA6E1D"/>
    <w:rsid w:val="01B31009"/>
    <w:rsid w:val="01CF26DA"/>
    <w:rsid w:val="026B2FD9"/>
    <w:rsid w:val="03E626D5"/>
    <w:rsid w:val="048942DB"/>
    <w:rsid w:val="050E36C5"/>
    <w:rsid w:val="09F35C56"/>
    <w:rsid w:val="0A2C21C6"/>
    <w:rsid w:val="0B137FC2"/>
    <w:rsid w:val="0B9D3801"/>
    <w:rsid w:val="0C254CC1"/>
    <w:rsid w:val="0D357B7F"/>
    <w:rsid w:val="1142795A"/>
    <w:rsid w:val="12B1588F"/>
    <w:rsid w:val="15E95F31"/>
    <w:rsid w:val="15ED1ACE"/>
    <w:rsid w:val="16027E3C"/>
    <w:rsid w:val="170A5F24"/>
    <w:rsid w:val="18C93CE1"/>
    <w:rsid w:val="19044C4E"/>
    <w:rsid w:val="19062809"/>
    <w:rsid w:val="1A630BBB"/>
    <w:rsid w:val="1AC037A0"/>
    <w:rsid w:val="1B3271C9"/>
    <w:rsid w:val="1B83540D"/>
    <w:rsid w:val="1BE40486"/>
    <w:rsid w:val="1CAC4563"/>
    <w:rsid w:val="1D7D354C"/>
    <w:rsid w:val="1DE2508D"/>
    <w:rsid w:val="218872DA"/>
    <w:rsid w:val="21FD243A"/>
    <w:rsid w:val="22680317"/>
    <w:rsid w:val="2276696D"/>
    <w:rsid w:val="232204C5"/>
    <w:rsid w:val="2551263E"/>
    <w:rsid w:val="281B53CB"/>
    <w:rsid w:val="28E2494F"/>
    <w:rsid w:val="2B136821"/>
    <w:rsid w:val="2C092E6A"/>
    <w:rsid w:val="2C5F7A66"/>
    <w:rsid w:val="2C7F4AC8"/>
    <w:rsid w:val="2CA53840"/>
    <w:rsid w:val="2CB43AC2"/>
    <w:rsid w:val="2E6762B2"/>
    <w:rsid w:val="2E816823"/>
    <w:rsid w:val="312A215B"/>
    <w:rsid w:val="31BC4D7D"/>
    <w:rsid w:val="32500F65"/>
    <w:rsid w:val="34AF1A6A"/>
    <w:rsid w:val="34B531F7"/>
    <w:rsid w:val="34EE29AA"/>
    <w:rsid w:val="35277008"/>
    <w:rsid w:val="36835BBF"/>
    <w:rsid w:val="37BF0F9F"/>
    <w:rsid w:val="3951526A"/>
    <w:rsid w:val="3A7A1A54"/>
    <w:rsid w:val="3AC51981"/>
    <w:rsid w:val="3B95724E"/>
    <w:rsid w:val="3BB2418D"/>
    <w:rsid w:val="3C155A75"/>
    <w:rsid w:val="3C6A0D35"/>
    <w:rsid w:val="3CB414D0"/>
    <w:rsid w:val="3D9C04C1"/>
    <w:rsid w:val="3E2C1007"/>
    <w:rsid w:val="400E3ACB"/>
    <w:rsid w:val="40EB74F2"/>
    <w:rsid w:val="41037D44"/>
    <w:rsid w:val="412810BE"/>
    <w:rsid w:val="42406499"/>
    <w:rsid w:val="43F16B09"/>
    <w:rsid w:val="43F86DFC"/>
    <w:rsid w:val="44622A29"/>
    <w:rsid w:val="44A27FB2"/>
    <w:rsid w:val="451707F1"/>
    <w:rsid w:val="470D5BA7"/>
    <w:rsid w:val="47E87E2A"/>
    <w:rsid w:val="4A4C79AE"/>
    <w:rsid w:val="4A5A321C"/>
    <w:rsid w:val="4AA75779"/>
    <w:rsid w:val="4AE70373"/>
    <w:rsid w:val="4CA178F7"/>
    <w:rsid w:val="4EB946C7"/>
    <w:rsid w:val="50286B8B"/>
    <w:rsid w:val="504B44DE"/>
    <w:rsid w:val="51694DE5"/>
    <w:rsid w:val="525B24DC"/>
    <w:rsid w:val="52643424"/>
    <w:rsid w:val="53BF60CB"/>
    <w:rsid w:val="53DC5B32"/>
    <w:rsid w:val="53DF682F"/>
    <w:rsid w:val="53F57002"/>
    <w:rsid w:val="53FB7E88"/>
    <w:rsid w:val="54AB2D04"/>
    <w:rsid w:val="55C441CA"/>
    <w:rsid w:val="5681025B"/>
    <w:rsid w:val="56C1232B"/>
    <w:rsid w:val="56FB27E8"/>
    <w:rsid w:val="581F37ED"/>
    <w:rsid w:val="5C847774"/>
    <w:rsid w:val="5DA02E28"/>
    <w:rsid w:val="5F0A2F5D"/>
    <w:rsid w:val="5FA51ABA"/>
    <w:rsid w:val="5FE35DE4"/>
    <w:rsid w:val="60B57D2E"/>
    <w:rsid w:val="60D57F43"/>
    <w:rsid w:val="62E72403"/>
    <w:rsid w:val="63BC3F2F"/>
    <w:rsid w:val="64422DC3"/>
    <w:rsid w:val="661705DF"/>
    <w:rsid w:val="66551CC6"/>
    <w:rsid w:val="67F26A40"/>
    <w:rsid w:val="69397249"/>
    <w:rsid w:val="69DB0888"/>
    <w:rsid w:val="6A0C3F3A"/>
    <w:rsid w:val="6A510AC5"/>
    <w:rsid w:val="6B482C03"/>
    <w:rsid w:val="6B4A1A46"/>
    <w:rsid w:val="6C357DC6"/>
    <w:rsid w:val="6C474931"/>
    <w:rsid w:val="6CA64085"/>
    <w:rsid w:val="6D1B2D87"/>
    <w:rsid w:val="714020AD"/>
    <w:rsid w:val="71DC43FC"/>
    <w:rsid w:val="721A59B1"/>
    <w:rsid w:val="738B3F9A"/>
    <w:rsid w:val="75F13305"/>
    <w:rsid w:val="78D92D55"/>
    <w:rsid w:val="78FF0081"/>
    <w:rsid w:val="799E41B6"/>
    <w:rsid w:val="7A9A4858"/>
    <w:rsid w:val="7AC51BF6"/>
    <w:rsid w:val="7AE31CDF"/>
    <w:rsid w:val="7B090C96"/>
    <w:rsid w:val="7B9F6D1D"/>
    <w:rsid w:val="7D354FAE"/>
    <w:rsid w:val="7EB74BDF"/>
    <w:rsid w:val="7F301E0E"/>
    <w:rsid w:val="7F7231F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1"/>
    <o:shapelayout v:ext="edit">
      <o:idmap v:ext="edit" data="1"/>
    </o:shapelayout>
  </w:shapeDefaults>
  <w:decimalSymbol w:val="."/>
  <w:listSeparator w:val=","/>
  <w14:docId w14:val="0DA5A12F"/>
  <w15:chartTrackingRefBased/>
  <w15:docId w15:val="{0DC4F932-2F9E-42D4-9040-09959F2D79F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qFormat="1"/>
    <w:lsdException w:name="heading 8" w:qFormat="1"/>
    <w:lsdException w:name="heading 9" w:qFormat="1"/>
    <w:lsdException w:name="caption" w:semiHidden="1" w:unhideWhenUsed="1" w:qFormat="1"/>
    <w:lsdException w:name="Title" w:qFormat="1"/>
    <w:lsdException w:name="Default Paragraph Font" w:semiHidden="1"/>
    <w:lsdException w:name="Body Text" w:uiPriority="99" w:unhideWhenUsed="1" w:qFormat="1"/>
    <w:lsdException w:name="Subtitle" w:qFormat="1"/>
    <w:lsdException w:name="Body Text First Indent" w:qFormat="1"/>
    <w:lsdException w:name="Strong" w:qFormat="1"/>
    <w:lsdException w:name="Emphasis" w:qFormat="1"/>
    <w:lsdException w:name="HTML Top of Form" w:semiHidden="1" w:uiPriority="99" w:unhideWhenUsed="1"/>
    <w:lsdException w:name="HTML Bottom of Form" w:semiHidden="1" w:uiPriority="99" w:unhideWhenUsed="1"/>
    <w:lsdException w:name="Normal Table" w:semiHidden="1" w:unhideWhenUsed="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unhideWhenUsed="1"/>
    <w:lsdException w:name="No Spacing" w:uiPriority="99"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uiPriority="99" w:qFormat="1"/>
    <w:lsdException w:name="Quote" w:uiPriority="99" w:qFormat="1"/>
    <w:lsdException w:name="Intense Quote" w:uiPriority="99"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next w:val="a0"/>
    <w:qFormat/>
    <w:pPr>
      <w:widowControl w:val="0"/>
      <w:spacing w:line="360" w:lineRule="auto"/>
      <w:ind w:firstLineChars="200" w:firstLine="883"/>
      <w:jc w:val="both"/>
    </w:pPr>
    <w:rPr>
      <w:kern w:val="2"/>
      <w:sz w:val="21"/>
      <w:szCs w:val="24"/>
    </w:rPr>
  </w:style>
  <w:style w:type="paragraph" w:styleId="1">
    <w:name w:val="heading 1"/>
    <w:basedOn w:val="a"/>
    <w:next w:val="a"/>
    <w:link w:val="10"/>
    <w:qFormat/>
    <w:pPr>
      <w:keepNext/>
      <w:keepLines/>
      <w:numPr>
        <w:numId w:val="1"/>
      </w:numPr>
      <w:spacing w:before="100"/>
      <w:outlineLvl w:val="0"/>
    </w:pPr>
    <w:rPr>
      <w:b/>
      <w:bCs/>
      <w:kern w:val="44"/>
      <w:sz w:val="24"/>
      <w:szCs w:val="44"/>
    </w:rPr>
  </w:style>
  <w:style w:type="paragraph" w:styleId="2">
    <w:name w:val="heading 2"/>
    <w:basedOn w:val="a"/>
    <w:next w:val="a"/>
    <w:qFormat/>
    <w:pPr>
      <w:keepNext/>
      <w:keepLines/>
      <w:numPr>
        <w:ilvl w:val="1"/>
        <w:numId w:val="1"/>
      </w:numPr>
      <w:spacing w:before="20" w:after="20"/>
      <w:outlineLvl w:val="1"/>
    </w:pPr>
    <w:rPr>
      <w:rFonts w:ascii="Arial" w:hAnsi="Arial"/>
      <w:b/>
      <w:sz w:val="24"/>
    </w:rPr>
  </w:style>
  <w:style w:type="paragraph" w:styleId="3">
    <w:name w:val="heading 3"/>
    <w:basedOn w:val="a"/>
    <w:next w:val="a1"/>
    <w:qFormat/>
    <w:pPr>
      <w:keepNext/>
      <w:keepLines/>
      <w:numPr>
        <w:ilvl w:val="2"/>
        <w:numId w:val="1"/>
      </w:numPr>
      <w:spacing w:before="260" w:after="260" w:line="413" w:lineRule="auto"/>
      <w:outlineLvl w:val="2"/>
    </w:pPr>
    <w:rPr>
      <w:b/>
      <w:sz w:val="32"/>
    </w:rPr>
  </w:style>
  <w:style w:type="paragraph" w:styleId="4">
    <w:name w:val="heading 4"/>
    <w:basedOn w:val="a"/>
    <w:next w:val="a"/>
    <w:qFormat/>
    <w:pPr>
      <w:keepNext/>
      <w:keepLines/>
      <w:numPr>
        <w:ilvl w:val="3"/>
        <w:numId w:val="1"/>
      </w:numPr>
      <w:spacing w:before="280" w:after="290" w:line="372" w:lineRule="auto"/>
      <w:outlineLvl w:val="3"/>
    </w:pPr>
    <w:rPr>
      <w:rFonts w:ascii="Arial" w:eastAsia="黑体" w:hAnsi="Arial"/>
      <w:b/>
      <w:sz w:val="28"/>
    </w:rPr>
  </w:style>
  <w:style w:type="paragraph" w:styleId="5">
    <w:name w:val="heading 5"/>
    <w:basedOn w:val="a"/>
    <w:next w:val="a"/>
    <w:qFormat/>
    <w:pPr>
      <w:keepNext/>
      <w:keepLines/>
      <w:numPr>
        <w:ilvl w:val="4"/>
        <w:numId w:val="1"/>
      </w:numPr>
      <w:spacing w:before="280" w:after="290" w:line="372" w:lineRule="auto"/>
      <w:outlineLvl w:val="4"/>
    </w:pPr>
    <w:rPr>
      <w:b/>
      <w:sz w:val="28"/>
    </w:rPr>
  </w:style>
  <w:style w:type="paragraph" w:styleId="6">
    <w:name w:val="heading 6"/>
    <w:basedOn w:val="a"/>
    <w:next w:val="a"/>
    <w:qFormat/>
    <w:pPr>
      <w:keepNext/>
      <w:keepLines/>
      <w:numPr>
        <w:ilvl w:val="5"/>
        <w:numId w:val="1"/>
      </w:numPr>
      <w:spacing w:before="240" w:after="64" w:line="317" w:lineRule="auto"/>
      <w:outlineLvl w:val="5"/>
    </w:pPr>
    <w:rPr>
      <w:rFonts w:ascii="Arial" w:eastAsia="黑体" w:hAnsi="Arial"/>
      <w:b/>
      <w:sz w:val="24"/>
    </w:rPr>
  </w:style>
  <w:style w:type="paragraph" w:styleId="7">
    <w:name w:val="heading 7"/>
    <w:basedOn w:val="a"/>
    <w:next w:val="a"/>
    <w:qFormat/>
    <w:pPr>
      <w:keepNext/>
      <w:keepLines/>
      <w:numPr>
        <w:ilvl w:val="6"/>
        <w:numId w:val="1"/>
      </w:numPr>
      <w:spacing w:before="240" w:after="64" w:line="317" w:lineRule="auto"/>
      <w:outlineLvl w:val="6"/>
    </w:pPr>
    <w:rPr>
      <w:b/>
      <w:sz w:val="24"/>
    </w:rPr>
  </w:style>
  <w:style w:type="paragraph" w:styleId="8">
    <w:name w:val="heading 8"/>
    <w:basedOn w:val="a"/>
    <w:next w:val="a"/>
    <w:qFormat/>
    <w:pPr>
      <w:keepNext/>
      <w:keepLines/>
      <w:numPr>
        <w:ilvl w:val="7"/>
        <w:numId w:val="1"/>
      </w:numPr>
      <w:spacing w:before="240" w:after="64" w:line="317" w:lineRule="auto"/>
      <w:outlineLvl w:val="7"/>
    </w:pPr>
    <w:rPr>
      <w:rFonts w:ascii="Arial" w:eastAsia="黑体" w:hAnsi="Arial"/>
      <w:sz w:val="24"/>
    </w:rPr>
  </w:style>
  <w:style w:type="paragraph" w:styleId="9">
    <w:name w:val="heading 9"/>
    <w:basedOn w:val="a"/>
    <w:next w:val="a"/>
    <w:qFormat/>
    <w:pPr>
      <w:keepNext/>
      <w:keepLines/>
      <w:numPr>
        <w:ilvl w:val="8"/>
        <w:numId w:val="1"/>
      </w:numPr>
      <w:spacing w:before="240" w:after="64" w:line="317" w:lineRule="auto"/>
      <w:outlineLvl w:val="8"/>
    </w:pPr>
    <w:rPr>
      <w:rFonts w:ascii="Arial" w:eastAsia="黑体" w:hAnsi="Arial"/>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0">
    <w:name w:val="Body Text"/>
    <w:basedOn w:val="a"/>
    <w:uiPriority w:val="99"/>
    <w:unhideWhenUsed/>
    <w:qFormat/>
    <w:pPr>
      <w:spacing w:after="120"/>
    </w:pPr>
  </w:style>
  <w:style w:type="character" w:customStyle="1" w:styleId="10">
    <w:name w:val="标题 1 字符"/>
    <w:link w:val="1"/>
    <w:rPr>
      <w:rFonts w:ascii="Times New Roman" w:eastAsia="宋体" w:hAnsi="Times New Roman"/>
      <w:b/>
      <w:bCs/>
      <w:kern w:val="44"/>
      <w:sz w:val="24"/>
      <w:szCs w:val="44"/>
    </w:rPr>
  </w:style>
  <w:style w:type="paragraph" w:styleId="a1">
    <w:name w:val="Body Text First Indent"/>
    <w:basedOn w:val="a0"/>
    <w:qFormat/>
    <w:pPr>
      <w:widowControl/>
      <w:ind w:firstLine="200"/>
      <w:jc w:val="left"/>
    </w:pPr>
    <w:rPr>
      <w:rFonts w:ascii="Cambria" w:hAnsi="Cambria"/>
      <w:kern w:val="0"/>
    </w:rPr>
  </w:style>
  <w:style w:type="paragraph" w:styleId="a5">
    <w:name w:val="Balloon Text"/>
    <w:basedOn w:val="a"/>
    <w:link w:val="a6"/>
    <w:rPr>
      <w:sz w:val="18"/>
      <w:szCs w:val="18"/>
    </w:rPr>
  </w:style>
  <w:style w:type="character" w:customStyle="1" w:styleId="a6">
    <w:name w:val="批注框文本 字符"/>
    <w:link w:val="a5"/>
    <w:rPr>
      <w:kern w:val="2"/>
      <w:sz w:val="18"/>
      <w:szCs w:val="18"/>
    </w:rPr>
  </w:style>
  <w:style w:type="paragraph" w:styleId="a7">
    <w:name w:val="footer"/>
    <w:basedOn w:val="a"/>
    <w:link w:val="a8"/>
    <w:pPr>
      <w:tabs>
        <w:tab w:val="center" w:pos="4153"/>
        <w:tab w:val="right" w:pos="8306"/>
      </w:tabs>
      <w:snapToGrid w:val="0"/>
      <w:jc w:val="left"/>
    </w:pPr>
    <w:rPr>
      <w:sz w:val="18"/>
      <w:szCs w:val="18"/>
    </w:rPr>
  </w:style>
  <w:style w:type="character" w:customStyle="1" w:styleId="a8">
    <w:name w:val="页脚 字符"/>
    <w:link w:val="a7"/>
    <w:rPr>
      <w:kern w:val="2"/>
      <w:sz w:val="18"/>
      <w:szCs w:val="18"/>
    </w:rPr>
  </w:style>
  <w:style w:type="paragraph" w:styleId="a9">
    <w:name w:val="header"/>
    <w:basedOn w:val="a"/>
    <w:link w:val="aa"/>
    <w:pPr>
      <w:pBdr>
        <w:bottom w:val="single" w:sz="6" w:space="1" w:color="auto"/>
      </w:pBdr>
      <w:tabs>
        <w:tab w:val="center" w:pos="4153"/>
        <w:tab w:val="right" w:pos="8306"/>
      </w:tabs>
      <w:snapToGrid w:val="0"/>
      <w:jc w:val="center"/>
    </w:pPr>
    <w:rPr>
      <w:sz w:val="18"/>
      <w:szCs w:val="18"/>
    </w:rPr>
  </w:style>
  <w:style w:type="character" w:customStyle="1" w:styleId="aa">
    <w:name w:val="页眉 字符"/>
    <w:link w:val="a9"/>
    <w:rPr>
      <w:kern w:val="2"/>
      <w:sz w:val="18"/>
      <w:szCs w:val="18"/>
    </w:rPr>
  </w:style>
  <w:style w:type="table" w:styleId="ab">
    <w:name w:val="Table Grid"/>
    <w:basedOn w:val="a3"/>
    <w:pPr>
      <w:widowControl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encoding w:val="x-cp20936"/>
  <w:optimizeForBrowser/>
  <w:allowPNG/>
  <w:pixelsPerInch w:val="144"/>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oter" Target="foot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theme" Target="theme/theme1.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3</Pages>
  <Words>294</Words>
  <Characters>1681</Characters>
  <Application>Microsoft Office Word</Application>
  <DocSecurity>0</DocSecurity>
  <Lines>14</Lines>
  <Paragraphs>3</Paragraphs>
  <ScaleCrop>false</ScaleCrop>
  <Company>China</Company>
  <LinksUpToDate>false</LinksUpToDate>
  <CharactersWithSpaces>1972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cp:lastModifiedBy>oxidize</cp:lastModifiedBy>
  <cp:revision>3</cp:revision>
  <cp:lastPrinted>2016-09-29T04:53:00Z</cp:lastPrinted>
  <dcterms:created xsi:type="dcterms:W3CDTF">2025-07-08T08:29:00Z</dcterms:created>
  <dcterms:modified xsi:type="dcterms:W3CDTF">2025-07-08T13:37:00Z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2052-12.1.0.20784</vt:lpwstr>
  </property>
  <property fmtid="{D5CDD505-2E9C-101B-9397-08002B2CF9AE}" pid="3" name="ICV">
    <vt:lpwstr>DD1C537B22EA41F2A0E2FD8CD175EECF</vt:lpwstr>
  </property>
  <property fmtid="{D5CDD505-2E9C-101B-9397-08002B2CF9AE}" pid="4" name="KSOTemplateDocerSaveRecord">
    <vt:lpwstr>eyJoZGlkIjoiYWU2ZDlkY2M4M2MzMTkwYjNjNDQ1NTY0MjYzNWZhNzIiLCJ1c2VySWQiOiIyNjAzODgwNjEifQ==</vt:lpwstr>
  </property>
</Properties>
</file>