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D21D0E5">
      <w:pPr>
        <w:widowControl/>
        <w:spacing w:before="156" w:beforeLines="5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现场测评授权书</w:t>
      </w:r>
    </w:p>
    <w:p w14:paraId="7557C4FE">
      <w:pPr>
        <w:autoSpaceDE w:val="0"/>
        <w:autoSpaceDN w:val="0"/>
        <w:adjustRightInd w:val="0"/>
        <w:spacing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根据网络安全等级保护测评委托协议，测评单位对被测评单位的信息系统进行网络安全等级保护测评。</w:t>
      </w:r>
    </w:p>
    <w:p w14:paraId="432D4261">
      <w:pPr>
        <w:autoSpaceDE w:val="0"/>
        <w:autoSpaceDN w:val="0"/>
        <w:adjustRightInd w:val="0"/>
        <w:spacing w:line="360" w:lineRule="auto"/>
        <w:ind w:firstLine="420"/>
        <w:rPr>
          <w:rFonts w:hint="eastAsia" w:ascii="仿宋" w:hAnsi="仿宋" w:eastAsia="仿宋" w:cs="仿宋"/>
          <w:sz w:val="24"/>
          <w:szCs w:val="24"/>
        </w:rPr>
      </w:pPr>
      <w:r>
        <w:rPr>
          <w:rFonts w:hint="eastAsia" w:ascii="仿宋" w:hAnsi="仿宋" w:eastAsia="仿宋" w:cs="仿宋"/>
          <w:bCs/>
          <w:sz w:val="24"/>
          <w:szCs w:val="24"/>
          <w:u w:val="single"/>
        </w:rPr>
        <w:t xml:space="preserve">  XX单位  </w:t>
      </w:r>
      <w:r>
        <w:rPr>
          <w:rFonts w:hint="eastAsia" w:ascii="仿宋" w:hAnsi="仿宋" w:eastAsia="仿宋" w:cs="仿宋"/>
          <w:bCs/>
          <w:sz w:val="24"/>
          <w:szCs w:val="24"/>
        </w:rPr>
        <w:t>现授权</w:t>
      </w:r>
      <w:r>
        <w:rPr>
          <w:rFonts w:hint="eastAsia" w:ascii="仿宋" w:hAnsi="仿宋" w:eastAsia="仿宋" w:cs="仿宋"/>
          <w:bCs/>
          <w:sz w:val="24"/>
          <w:szCs w:val="24"/>
          <w:u w:val="single"/>
        </w:rPr>
        <w:t xml:space="preserve"> 安工检测服务（河北）有限公司测评项目组</w:t>
      </w:r>
      <w:r>
        <w:rPr>
          <w:rFonts w:hint="eastAsia" w:ascii="仿宋" w:hAnsi="仿宋" w:eastAsia="仿宋" w:cs="仿宋"/>
          <w:sz w:val="24"/>
          <w:szCs w:val="24"/>
        </w:rPr>
        <w:t>在</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 xml:space="preserve">JCSJ </w:t>
      </w:r>
      <w:r>
        <w:rPr>
          <w:rFonts w:hint="eastAsia" w:ascii="仿宋" w:hAnsi="仿宋" w:eastAsia="仿宋" w:cs="仿宋"/>
          <w:sz w:val="24"/>
          <w:szCs w:val="24"/>
          <w:u w:val="single"/>
        </w:rPr>
        <w:t xml:space="preserve">至 </w:t>
      </w:r>
      <w:r>
        <w:rPr>
          <w:rFonts w:hint="eastAsia" w:ascii="仿宋" w:hAnsi="仿宋" w:eastAsia="仿宋" w:cs="仿宋"/>
          <w:sz w:val="24"/>
          <w:szCs w:val="24"/>
          <w:u w:val="single"/>
          <w:lang w:val="en-US" w:eastAsia="zh-CN"/>
        </w:rPr>
        <w:t xml:space="preserve">LCSJ </w:t>
      </w:r>
      <w:r>
        <w:rPr>
          <w:rFonts w:hint="eastAsia" w:ascii="仿宋" w:hAnsi="仿宋" w:eastAsia="仿宋" w:cs="仿宋"/>
          <w:sz w:val="24"/>
          <w:szCs w:val="24"/>
        </w:rPr>
        <w:t>对</w:t>
      </w:r>
      <w:r>
        <w:rPr>
          <w:rFonts w:hint="eastAsia" w:ascii="仿宋" w:hAnsi="仿宋" w:eastAsia="仿宋" w:cs="仿宋"/>
          <w:bCs/>
          <w:sz w:val="24"/>
          <w:szCs w:val="24"/>
          <w:u w:val="single"/>
        </w:rPr>
        <w:t xml:space="preserve"> XX单位</w:t>
      </w:r>
      <w:r>
        <w:rPr>
          <w:rFonts w:hint="eastAsia" w:ascii="仿宋" w:hAnsi="仿宋" w:eastAsia="仿宋" w:cs="仿宋"/>
          <w:bCs/>
          <w:sz w:val="24"/>
          <w:szCs w:val="24"/>
          <w:u w:val="single"/>
          <w:lang w:val="en-US" w:eastAsia="zh-CN"/>
        </w:rPr>
        <w:t xml:space="preserve"> </w:t>
      </w:r>
      <w:bookmarkStart w:id="0" w:name="_GoBack"/>
      <w:bookmarkEnd w:id="0"/>
      <w:r>
        <w:rPr>
          <w:rFonts w:hint="eastAsia" w:ascii="仿宋" w:hAnsi="仿宋" w:eastAsia="仿宋" w:cs="仿宋"/>
          <w:bCs/>
          <w:sz w:val="24"/>
          <w:szCs w:val="24"/>
          <w:u w:val="none"/>
        </w:rPr>
        <w:t>的</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single"/>
        </w:rPr>
        <w:t xml:space="preserve">XX系统  </w:t>
      </w:r>
      <w:r>
        <w:rPr>
          <w:rFonts w:hint="eastAsia" w:ascii="仿宋" w:hAnsi="仿宋" w:eastAsia="仿宋" w:cs="仿宋"/>
          <w:sz w:val="24"/>
          <w:szCs w:val="24"/>
        </w:rPr>
        <w:t>进行网络安全等级保护现场测评工作。</w:t>
      </w:r>
    </w:p>
    <w:p w14:paraId="3A5851B0">
      <w:pPr>
        <w:autoSpaceDE w:val="0"/>
        <w:autoSpaceDN w:val="0"/>
        <w:adjustRightInd w:val="0"/>
        <w:spacing w:line="360" w:lineRule="auto"/>
        <w:ind w:firstLine="420"/>
        <w:rPr>
          <w:rFonts w:hint="eastAsia" w:ascii="仿宋" w:hAnsi="仿宋" w:eastAsia="仿宋" w:cs="仿宋"/>
          <w:sz w:val="24"/>
          <w:szCs w:val="24"/>
        </w:rPr>
      </w:pPr>
      <w:r>
        <w:rPr>
          <w:rFonts w:hint="eastAsia" w:ascii="仿宋" w:hAnsi="仿宋" w:eastAsia="仿宋" w:cs="仿宋"/>
          <w:sz w:val="24"/>
          <w:szCs w:val="24"/>
        </w:rPr>
        <w:t>在被测评单位的许可和配合下，测评单位将利用安全测评工具或相关技术手段，对被测单位的网络、设备及系统进行等级保护安全测评工作。双方就下列事项已达共识：</w:t>
      </w:r>
    </w:p>
    <w:p w14:paraId="6942AD98">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被测评单位相关技术人员全程陪同安全测评工作，安全测评所涉及被测评单位的设备上机操作原则上完全由被测评单位人员进行，测评单位进行结果记录；</w:t>
      </w:r>
    </w:p>
    <w:p w14:paraId="3E0A8632">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测评单位所采用的测评工具和测评方法必须符合经被测评单位签字确认的测评方案；</w:t>
      </w:r>
    </w:p>
    <w:p w14:paraId="34CB0E2C">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被测评单位已了解网络及系统安全测评对系统可能会带来的如下影响：</w:t>
      </w:r>
    </w:p>
    <w:tbl>
      <w:tblPr>
        <w:tblStyle w:val="7"/>
        <w:tblW w:w="88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8081"/>
      </w:tblGrid>
      <w:tr w14:paraId="6126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14:paraId="6CEB77F0">
            <w:pPr>
              <w:autoSpaceDE w:val="0"/>
              <w:autoSpaceDN w:val="0"/>
              <w:adjustRightInd w:val="0"/>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序号</w:t>
            </w:r>
          </w:p>
        </w:tc>
        <w:tc>
          <w:tcPr>
            <w:tcW w:w="8081" w:type="dxa"/>
          </w:tcPr>
          <w:p w14:paraId="206516BE">
            <w:pPr>
              <w:autoSpaceDE w:val="0"/>
              <w:autoSpaceDN w:val="0"/>
              <w:adjustRightInd w:val="0"/>
              <w:spacing w:line="360" w:lineRule="auto"/>
              <w:jc w:val="center"/>
              <w:rPr>
                <w:rFonts w:hint="eastAsia" w:ascii="仿宋" w:hAnsi="仿宋" w:eastAsia="仿宋" w:cs="仿宋"/>
                <w:b/>
                <w:sz w:val="24"/>
                <w:szCs w:val="24"/>
              </w:rPr>
            </w:pPr>
            <w:r>
              <w:rPr>
                <w:rFonts w:hint="eastAsia" w:ascii="仿宋" w:hAnsi="仿宋" w:eastAsia="仿宋" w:cs="仿宋"/>
                <w:b/>
                <w:kern w:val="0"/>
                <w:sz w:val="24"/>
                <w:szCs w:val="24"/>
              </w:rPr>
              <w:t>影响描述</w:t>
            </w:r>
          </w:p>
        </w:tc>
      </w:tr>
      <w:tr w14:paraId="217A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14:paraId="14A00F7B">
            <w:pPr>
              <w:autoSpaceDE w:val="0"/>
              <w:autoSpaceDN w:val="0"/>
              <w:adjustRightInd w:val="0"/>
              <w:spacing w:line="360" w:lineRule="auto"/>
              <w:jc w:val="center"/>
              <w:rPr>
                <w:rFonts w:hint="eastAsia" w:ascii="仿宋" w:hAnsi="仿宋" w:eastAsia="仿宋" w:cs="仿宋"/>
                <w:sz w:val="24"/>
                <w:szCs w:val="24"/>
              </w:rPr>
            </w:pPr>
            <w:r>
              <w:rPr>
                <w:rFonts w:hint="eastAsia" w:ascii="仿宋" w:hAnsi="仿宋" w:eastAsia="仿宋" w:cs="仿宋"/>
                <w:sz w:val="24"/>
                <w:szCs w:val="24"/>
              </w:rPr>
              <w:t>1</w:t>
            </w:r>
          </w:p>
        </w:tc>
        <w:tc>
          <w:tcPr>
            <w:tcW w:w="8081" w:type="dxa"/>
          </w:tcPr>
          <w:p w14:paraId="5B7E9083">
            <w:pPr>
              <w:autoSpaceDE w:val="0"/>
              <w:autoSpaceDN w:val="0"/>
              <w:adjustRightIn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会对被测评网络设备或主机系统造成异常运行或停机的可能（小于0.1%）</w:t>
            </w:r>
          </w:p>
        </w:tc>
      </w:tr>
      <w:tr w14:paraId="375B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14:paraId="01E049D9">
            <w:pPr>
              <w:autoSpaceDE w:val="0"/>
              <w:autoSpaceDN w:val="0"/>
              <w:adjustRightInd w:val="0"/>
              <w:spacing w:line="360" w:lineRule="auto"/>
              <w:jc w:val="center"/>
              <w:rPr>
                <w:rFonts w:hint="eastAsia" w:ascii="仿宋" w:hAnsi="仿宋" w:eastAsia="仿宋" w:cs="仿宋"/>
                <w:sz w:val="24"/>
                <w:szCs w:val="24"/>
              </w:rPr>
            </w:pPr>
            <w:r>
              <w:rPr>
                <w:rFonts w:hint="eastAsia" w:ascii="仿宋" w:hAnsi="仿宋" w:eastAsia="仿宋" w:cs="仿宋"/>
                <w:sz w:val="24"/>
                <w:szCs w:val="24"/>
              </w:rPr>
              <w:t>2</w:t>
            </w:r>
          </w:p>
        </w:tc>
        <w:tc>
          <w:tcPr>
            <w:tcW w:w="8081" w:type="dxa"/>
          </w:tcPr>
          <w:p w14:paraId="147DC0D5">
            <w:pPr>
              <w:autoSpaceDE w:val="0"/>
              <w:autoSpaceDN w:val="0"/>
              <w:adjustRightIn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会对被测评主机上的各种服务和应用程序造成异常运行或终止运行的可能</w:t>
            </w:r>
          </w:p>
        </w:tc>
      </w:tr>
      <w:tr w14:paraId="217F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14:paraId="49300AC4">
            <w:pPr>
              <w:autoSpaceDE w:val="0"/>
              <w:autoSpaceDN w:val="0"/>
              <w:adjustRightInd w:val="0"/>
              <w:spacing w:line="360" w:lineRule="auto"/>
              <w:jc w:val="center"/>
              <w:rPr>
                <w:rFonts w:hint="eastAsia" w:ascii="仿宋" w:hAnsi="仿宋" w:eastAsia="仿宋" w:cs="仿宋"/>
                <w:sz w:val="24"/>
                <w:szCs w:val="24"/>
              </w:rPr>
            </w:pPr>
            <w:r>
              <w:rPr>
                <w:rFonts w:hint="eastAsia" w:ascii="仿宋" w:hAnsi="仿宋" w:eastAsia="仿宋" w:cs="仿宋"/>
                <w:sz w:val="24"/>
                <w:szCs w:val="24"/>
              </w:rPr>
              <w:t>3</w:t>
            </w:r>
          </w:p>
        </w:tc>
        <w:tc>
          <w:tcPr>
            <w:tcW w:w="8081" w:type="dxa"/>
          </w:tcPr>
          <w:p w14:paraId="5319D7F8">
            <w:pPr>
              <w:autoSpaceDE w:val="0"/>
              <w:autoSpaceDN w:val="0"/>
              <w:adjustRightIn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测评期间，被测评主机上的各种服务的运行速度可能会减慢</w:t>
            </w:r>
          </w:p>
        </w:tc>
      </w:tr>
      <w:tr w14:paraId="3EAF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14:paraId="26C6B1FF">
            <w:pPr>
              <w:autoSpaceDE w:val="0"/>
              <w:autoSpaceDN w:val="0"/>
              <w:adjustRightInd w:val="0"/>
              <w:spacing w:line="360" w:lineRule="auto"/>
              <w:jc w:val="center"/>
              <w:rPr>
                <w:rFonts w:hint="eastAsia" w:ascii="仿宋" w:hAnsi="仿宋" w:eastAsia="仿宋" w:cs="仿宋"/>
                <w:sz w:val="24"/>
                <w:szCs w:val="24"/>
              </w:rPr>
            </w:pPr>
            <w:r>
              <w:rPr>
                <w:rFonts w:hint="eastAsia" w:ascii="仿宋" w:hAnsi="仿宋" w:eastAsia="仿宋" w:cs="仿宋"/>
                <w:sz w:val="24"/>
                <w:szCs w:val="24"/>
              </w:rPr>
              <w:t>4</w:t>
            </w:r>
          </w:p>
        </w:tc>
        <w:tc>
          <w:tcPr>
            <w:tcW w:w="8081" w:type="dxa"/>
          </w:tcPr>
          <w:p w14:paraId="2FA74281">
            <w:pPr>
              <w:autoSpaceDE w:val="0"/>
              <w:autoSpaceDN w:val="0"/>
              <w:adjustRightIn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测评期间，网络的处理能力和传输速度可能会减慢</w:t>
            </w:r>
          </w:p>
        </w:tc>
      </w:tr>
      <w:tr w14:paraId="68A4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14:paraId="5D411B06">
            <w:pPr>
              <w:autoSpaceDE w:val="0"/>
              <w:autoSpaceDN w:val="0"/>
              <w:adjustRightInd w:val="0"/>
              <w:spacing w:line="360" w:lineRule="auto"/>
              <w:jc w:val="center"/>
              <w:rPr>
                <w:rFonts w:hint="eastAsia" w:ascii="仿宋" w:hAnsi="仿宋" w:eastAsia="仿宋" w:cs="仿宋"/>
                <w:sz w:val="24"/>
                <w:szCs w:val="24"/>
              </w:rPr>
            </w:pPr>
            <w:r>
              <w:rPr>
                <w:rFonts w:hint="eastAsia" w:ascii="仿宋" w:hAnsi="仿宋" w:eastAsia="仿宋" w:cs="仿宋"/>
                <w:sz w:val="24"/>
                <w:szCs w:val="24"/>
              </w:rPr>
              <w:t>5</w:t>
            </w:r>
          </w:p>
        </w:tc>
        <w:tc>
          <w:tcPr>
            <w:tcW w:w="8081" w:type="dxa"/>
          </w:tcPr>
          <w:p w14:paraId="25B695FD">
            <w:pPr>
              <w:autoSpaceDE w:val="0"/>
              <w:autoSpaceDN w:val="0"/>
              <w:adjustRightInd w:val="0"/>
              <w:spacing w:line="360" w:lineRule="auto"/>
              <w:rPr>
                <w:rFonts w:hint="eastAsia" w:ascii="仿宋" w:hAnsi="仿宋" w:eastAsia="仿宋" w:cs="仿宋"/>
                <w:kern w:val="0"/>
                <w:sz w:val="24"/>
                <w:szCs w:val="24"/>
              </w:rPr>
            </w:pPr>
            <w:r>
              <w:rPr>
                <w:rFonts w:hint="eastAsia" w:ascii="仿宋" w:hAnsi="仿宋" w:eastAsia="仿宋" w:cs="仿宋"/>
                <w:kern w:val="0"/>
                <w:sz w:val="24"/>
                <w:szCs w:val="24"/>
              </w:rPr>
              <w:t>测评期间，因被测评单位操作员操作问题，迫使某些服务中断或延时</w:t>
            </w:r>
          </w:p>
        </w:tc>
      </w:tr>
    </w:tbl>
    <w:p w14:paraId="171100A2">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测评单位使用的测评工具具有弱口令猜测功能，可能引起被测评单位网络、主机或其他系统登陆失败处理功能响应造成账号锁定。</w:t>
      </w:r>
    </w:p>
    <w:p w14:paraId="0252118F">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如被测评单位不允许对网络、主机和其他系统进行弱口令猜测，被测评单位将提前告知测评人员。</w:t>
      </w:r>
    </w:p>
    <w:p w14:paraId="21785219">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鉴于测评和工具测试工作可能对系统带来的影响，被测评单位在测评时段之前已做好关键数据、设备和系统的备份工作和应急响应准备（特别是测评前已做好系统的全面备份），并对可能出现的影响制定相应的处理方案。</w:t>
      </w:r>
    </w:p>
    <w:p w14:paraId="1FF256F0">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本授权书与签字确认的测评方案在测评前提交测评单位；测评单位在获得本授权书和签字确认的测评方案后，方能在本授权书指定的时段内进行测评活动。</w:t>
      </w:r>
    </w:p>
    <w:p w14:paraId="2EFDF51A">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在本授权书指定的日期内开展测评工作将尽量避开业务高峰，在系统资源处于空闲时进行，或在不影响或减少对系统影响的时间内开展，但不得影响测评项目计划进度。</w:t>
      </w:r>
    </w:p>
    <w:p w14:paraId="5FB0BDF6">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现场测评结束后，测评单位需严格清理相关残留数据，尤其在渗透过程中植入的代码文件等。</w:t>
      </w:r>
    </w:p>
    <w:p w14:paraId="1A746634">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如测评单位在授权许可范围内开展测评活动而对被测评单位产生任何不良后果，被测评单位同意承担相关风险，具体可见《风险告知书》。</w:t>
      </w:r>
    </w:p>
    <w:p w14:paraId="7E819894">
      <w:pPr>
        <w:numPr>
          <w:ilvl w:val="1"/>
          <w:numId w:val="1"/>
        </w:numPr>
        <w:tabs>
          <w:tab w:val="left" w:pos="840"/>
          <w:tab w:val="clear" w:pos="1550"/>
        </w:tabs>
        <w:autoSpaceDE w:val="0"/>
        <w:autoSpaceDN w:val="0"/>
        <w:adjustRightInd w:val="0"/>
        <w:spacing w:line="360" w:lineRule="auto"/>
        <w:ind w:left="840" w:hanging="510"/>
        <w:rPr>
          <w:rFonts w:hint="eastAsia" w:ascii="仿宋" w:hAnsi="仿宋" w:eastAsia="仿宋" w:cs="仿宋"/>
          <w:sz w:val="24"/>
          <w:szCs w:val="24"/>
        </w:rPr>
      </w:pPr>
      <w:r>
        <w:rPr>
          <w:rFonts w:hint="eastAsia" w:ascii="仿宋" w:hAnsi="仿宋" w:eastAsia="仿宋" w:cs="仿宋"/>
          <w:sz w:val="24"/>
          <w:szCs w:val="24"/>
        </w:rPr>
        <w:t>如测评单位不按规定时间或不使用规定的工具对指定系统进行测评，由此产生的不良后果由测评单位承担。</w:t>
      </w:r>
    </w:p>
    <w:p w14:paraId="4CC74EBD">
      <w:pPr>
        <w:tabs>
          <w:tab w:val="left" w:pos="2488"/>
        </w:tabs>
        <w:autoSpaceDE w:val="0"/>
        <w:autoSpaceDN w:val="0"/>
        <w:adjustRightInd w:val="0"/>
        <w:spacing w:line="360" w:lineRule="auto"/>
        <w:rPr>
          <w:rFonts w:hint="eastAsia" w:ascii="仿宋" w:hAnsi="仿宋" w:eastAsia="仿宋" w:cs="仿宋"/>
          <w:sz w:val="24"/>
          <w:szCs w:val="24"/>
        </w:rPr>
      </w:pPr>
      <w:r>
        <w:rPr>
          <w:rFonts w:hint="eastAsia" w:ascii="仿宋" w:hAnsi="仿宋" w:eastAsia="仿宋" w:cs="仿宋"/>
          <w:sz w:val="24"/>
          <w:szCs w:val="24"/>
        </w:rPr>
        <w:tab/>
      </w:r>
    </w:p>
    <w:tbl>
      <w:tblPr>
        <w:tblStyle w:val="8"/>
        <w:tblW w:w="81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53"/>
        <w:gridCol w:w="4053"/>
      </w:tblGrid>
      <w:tr w14:paraId="39014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152494EF">
            <w:pPr>
              <w:pStyle w:val="4"/>
              <w:rPr>
                <w:rFonts w:hint="eastAsia" w:ascii="仿宋" w:hAnsi="仿宋" w:eastAsia="仿宋" w:cs="仿宋"/>
                <w:sz w:val="24"/>
                <w:szCs w:val="24"/>
              </w:rPr>
            </w:pPr>
            <w:r>
              <w:rPr>
                <w:rFonts w:hint="eastAsia" w:ascii="仿宋" w:hAnsi="仿宋" w:eastAsia="仿宋" w:cs="仿宋"/>
                <w:sz w:val="24"/>
                <w:szCs w:val="24"/>
              </w:rPr>
              <w:t>被测评单位（盖章）：</w:t>
            </w:r>
            <w:r>
              <w:rPr>
                <w:rFonts w:hint="eastAsia" w:ascii="仿宋" w:hAnsi="仿宋" w:eastAsia="仿宋" w:cs="仿宋"/>
                <w:bCs/>
                <w:sz w:val="24"/>
                <w:szCs w:val="24"/>
              </w:rPr>
              <w:t>XX单位</w:t>
            </w:r>
          </w:p>
        </w:tc>
        <w:tc>
          <w:tcPr>
            <w:tcW w:w="4053" w:type="dxa"/>
            <w:vAlign w:val="center"/>
          </w:tcPr>
          <w:p w14:paraId="37725A5C">
            <w:pPr>
              <w:pStyle w:val="4"/>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05431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00ACD9FC">
            <w:pPr>
              <w:pStyle w:val="4"/>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02334DFA">
            <w:pPr>
              <w:pStyle w:val="4"/>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6BA80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78DC783D">
            <w:pPr>
              <w:pStyle w:val="4"/>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3CFDB225">
            <w:pPr>
              <w:pStyle w:val="4"/>
              <w:rPr>
                <w:rFonts w:hint="eastAsia" w:ascii="仿宋" w:hAnsi="仿宋" w:eastAsia="仿宋" w:cs="仿宋"/>
                <w:sz w:val="24"/>
                <w:szCs w:val="24"/>
              </w:rPr>
            </w:pPr>
            <w:r>
              <w:rPr>
                <w:rFonts w:hint="eastAsia" w:ascii="仿宋" w:hAnsi="仿宋" w:eastAsia="仿宋" w:cs="仿宋"/>
                <w:sz w:val="24"/>
                <w:szCs w:val="24"/>
              </w:rPr>
              <w:t>日期：</w:t>
            </w:r>
          </w:p>
        </w:tc>
      </w:tr>
    </w:tbl>
    <w:p w14:paraId="28C3D5D0">
      <w:pPr>
        <w:autoSpaceDE w:val="0"/>
        <w:autoSpaceDN w:val="0"/>
        <w:adjustRightInd w:val="0"/>
        <w:spacing w:line="360" w:lineRule="auto"/>
        <w:ind w:firstLine="480" w:firstLineChars="200"/>
        <w:rPr>
          <w:rFonts w:hint="eastAsia" w:ascii="仿宋" w:hAnsi="仿宋" w:eastAsia="仿宋" w:cs="仿宋"/>
          <w:sz w:val="24"/>
          <w:szCs w:val="24"/>
        </w:rPr>
      </w:pPr>
    </w:p>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9A169">
    <w:pPr>
      <w:pStyle w:val="5"/>
    </w:pPr>
    <w: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31E55AA2">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170B7">
    <w:pPr>
      <w:pStyle w:val="6"/>
      <w:pBdr>
        <w:bottom w:val="single" w:color="auto" w:sz="4" w:space="1"/>
      </w:pBdr>
      <w:rPr>
        <w:sz w:val="21"/>
        <w:szCs w:val="21"/>
      </w:rPr>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AG-XM-009-2025</w:t>
    </w:r>
  </w:p>
  <w:p w14:paraId="6B1DF4E5">
    <w:pPr>
      <w:pStyle w:val="5"/>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5"/>
    <w:multiLevelType w:val="multilevel"/>
    <w:tmpl w:val="00000005"/>
    <w:lvl w:ilvl="0" w:tentative="0">
      <w:start w:val="1"/>
      <w:numFmt w:val="bullet"/>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550"/>
        </w:tabs>
        <w:ind w:left="1550" w:hanging="720"/>
      </w:pPr>
      <w:rPr>
        <w:rFonts w:hint="default"/>
      </w:rPr>
    </w:lvl>
    <w:lvl w:ilvl="2" w:tentative="0">
      <w:start w:val="1"/>
      <w:numFmt w:val="lowerRoman"/>
      <w:lvlText w:val="%3."/>
      <w:lvlJc w:val="right"/>
      <w:pPr>
        <w:tabs>
          <w:tab w:val="left" w:pos="1670"/>
        </w:tabs>
        <w:ind w:left="1670" w:hanging="420"/>
      </w:pPr>
    </w:lvl>
    <w:lvl w:ilvl="3" w:tentative="0">
      <w:start w:val="1"/>
      <w:numFmt w:val="decimal"/>
      <w:lvlText w:val="%4."/>
      <w:lvlJc w:val="left"/>
      <w:pPr>
        <w:tabs>
          <w:tab w:val="left" w:pos="2090"/>
        </w:tabs>
        <w:ind w:left="2090" w:hanging="420"/>
      </w:pPr>
    </w:lvl>
    <w:lvl w:ilvl="4" w:tentative="0">
      <w:start w:val="1"/>
      <w:numFmt w:val="lowerLetter"/>
      <w:lvlText w:val="%5)"/>
      <w:lvlJc w:val="left"/>
      <w:pPr>
        <w:tabs>
          <w:tab w:val="left" w:pos="2510"/>
        </w:tabs>
        <w:ind w:left="2510" w:hanging="420"/>
      </w:pPr>
    </w:lvl>
    <w:lvl w:ilvl="5" w:tentative="0">
      <w:start w:val="1"/>
      <w:numFmt w:val="lowerRoman"/>
      <w:lvlText w:val="%6."/>
      <w:lvlJc w:val="right"/>
      <w:pPr>
        <w:tabs>
          <w:tab w:val="left" w:pos="2930"/>
        </w:tabs>
        <w:ind w:left="2930" w:hanging="420"/>
      </w:pPr>
    </w:lvl>
    <w:lvl w:ilvl="6" w:tentative="0">
      <w:start w:val="1"/>
      <w:numFmt w:val="decimal"/>
      <w:lvlText w:val="%7."/>
      <w:lvlJc w:val="left"/>
      <w:pPr>
        <w:tabs>
          <w:tab w:val="left" w:pos="3350"/>
        </w:tabs>
        <w:ind w:left="3350" w:hanging="420"/>
      </w:pPr>
    </w:lvl>
    <w:lvl w:ilvl="7" w:tentative="0">
      <w:start w:val="1"/>
      <w:numFmt w:val="lowerLetter"/>
      <w:lvlText w:val="%8)"/>
      <w:lvlJc w:val="left"/>
      <w:pPr>
        <w:tabs>
          <w:tab w:val="left" w:pos="3770"/>
        </w:tabs>
        <w:ind w:left="3770" w:hanging="420"/>
      </w:pPr>
    </w:lvl>
    <w:lvl w:ilvl="8" w:tentative="0">
      <w:start w:val="1"/>
      <w:numFmt w:val="lowerRoman"/>
      <w:lvlText w:val="%9."/>
      <w:lvlJc w:val="right"/>
      <w:pPr>
        <w:tabs>
          <w:tab w:val="left" w:pos="4190"/>
        </w:tabs>
        <w:ind w:left="419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0"/>
  <w:drawingGridVerticalSpacing w:val="156"/>
  <w:displayHorizontalDrawingGridEvery w:val="0"/>
  <w:displayVerticalDrawingGridEvery w:val="2"/>
  <w:doNotShadeFormData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U2ZDlkY2M4M2MzMTkwYjNjNDQ1NTY0MjYzNWZhNzIifQ=="/>
  </w:docVars>
  <w:rsids>
    <w:rsidRoot w:val="00172A27"/>
    <w:rsid w:val="000479B7"/>
    <w:rsid w:val="00065C02"/>
    <w:rsid w:val="000A00AF"/>
    <w:rsid w:val="000A42DA"/>
    <w:rsid w:val="000D2D52"/>
    <w:rsid w:val="00117F27"/>
    <w:rsid w:val="0016733D"/>
    <w:rsid w:val="00172A27"/>
    <w:rsid w:val="00196EF7"/>
    <w:rsid w:val="001A1B8E"/>
    <w:rsid w:val="001A425B"/>
    <w:rsid w:val="00201895"/>
    <w:rsid w:val="00257F9C"/>
    <w:rsid w:val="002F7446"/>
    <w:rsid w:val="003A587A"/>
    <w:rsid w:val="00442D29"/>
    <w:rsid w:val="004820B0"/>
    <w:rsid w:val="005A599D"/>
    <w:rsid w:val="005B4AB5"/>
    <w:rsid w:val="00616054"/>
    <w:rsid w:val="00624B6C"/>
    <w:rsid w:val="00642EEB"/>
    <w:rsid w:val="006A0BBD"/>
    <w:rsid w:val="006A3FA3"/>
    <w:rsid w:val="006C7453"/>
    <w:rsid w:val="007129BE"/>
    <w:rsid w:val="00714B17"/>
    <w:rsid w:val="00723993"/>
    <w:rsid w:val="0076535D"/>
    <w:rsid w:val="007A58A9"/>
    <w:rsid w:val="007B5B1F"/>
    <w:rsid w:val="0092105E"/>
    <w:rsid w:val="00936500"/>
    <w:rsid w:val="009449FF"/>
    <w:rsid w:val="00964157"/>
    <w:rsid w:val="00AE1B97"/>
    <w:rsid w:val="00B45761"/>
    <w:rsid w:val="00B566A1"/>
    <w:rsid w:val="00B757FE"/>
    <w:rsid w:val="00B905CF"/>
    <w:rsid w:val="00BA424A"/>
    <w:rsid w:val="00BA7098"/>
    <w:rsid w:val="00BE72E8"/>
    <w:rsid w:val="00C40B42"/>
    <w:rsid w:val="00C76954"/>
    <w:rsid w:val="00D70DC7"/>
    <w:rsid w:val="00D75431"/>
    <w:rsid w:val="00D807A0"/>
    <w:rsid w:val="00DA7F89"/>
    <w:rsid w:val="00E26FFB"/>
    <w:rsid w:val="00EC2B32"/>
    <w:rsid w:val="00F01D3B"/>
    <w:rsid w:val="00F14FFE"/>
    <w:rsid w:val="00FE4455"/>
    <w:rsid w:val="00FF0145"/>
    <w:rsid w:val="010C0E20"/>
    <w:rsid w:val="036660AA"/>
    <w:rsid w:val="043F1428"/>
    <w:rsid w:val="0456696C"/>
    <w:rsid w:val="04E24E4D"/>
    <w:rsid w:val="078C3FDD"/>
    <w:rsid w:val="08A2252C"/>
    <w:rsid w:val="094F0A4B"/>
    <w:rsid w:val="0A504384"/>
    <w:rsid w:val="0B882213"/>
    <w:rsid w:val="0BA50E11"/>
    <w:rsid w:val="0C47379C"/>
    <w:rsid w:val="0CA52BAE"/>
    <w:rsid w:val="0CFD4170"/>
    <w:rsid w:val="0DD41943"/>
    <w:rsid w:val="0E032267"/>
    <w:rsid w:val="0E8A7F6C"/>
    <w:rsid w:val="0EA70216"/>
    <w:rsid w:val="0EEE2C63"/>
    <w:rsid w:val="0F5E32C9"/>
    <w:rsid w:val="0F7756E1"/>
    <w:rsid w:val="0FB63E3F"/>
    <w:rsid w:val="10C471FE"/>
    <w:rsid w:val="14156097"/>
    <w:rsid w:val="150F0BCA"/>
    <w:rsid w:val="157319CF"/>
    <w:rsid w:val="15A44E1D"/>
    <w:rsid w:val="15FD4994"/>
    <w:rsid w:val="161B6906"/>
    <w:rsid w:val="17AA5BEB"/>
    <w:rsid w:val="190F47B5"/>
    <w:rsid w:val="1A364EC5"/>
    <w:rsid w:val="1BE55A3C"/>
    <w:rsid w:val="1CFE0C9D"/>
    <w:rsid w:val="1D1A0422"/>
    <w:rsid w:val="1E1B1B52"/>
    <w:rsid w:val="1E58320C"/>
    <w:rsid w:val="1E857694"/>
    <w:rsid w:val="20181258"/>
    <w:rsid w:val="20B96C1E"/>
    <w:rsid w:val="20E866D2"/>
    <w:rsid w:val="21203145"/>
    <w:rsid w:val="217F6677"/>
    <w:rsid w:val="21B055E4"/>
    <w:rsid w:val="21DC7323"/>
    <w:rsid w:val="23453CAF"/>
    <w:rsid w:val="23AB3DC8"/>
    <w:rsid w:val="24E55104"/>
    <w:rsid w:val="25345345"/>
    <w:rsid w:val="25457C23"/>
    <w:rsid w:val="255E0EEC"/>
    <w:rsid w:val="258D555A"/>
    <w:rsid w:val="263F58C7"/>
    <w:rsid w:val="27D53D1B"/>
    <w:rsid w:val="284E15FC"/>
    <w:rsid w:val="290A7441"/>
    <w:rsid w:val="294C331C"/>
    <w:rsid w:val="2B2643B8"/>
    <w:rsid w:val="2BBD07EF"/>
    <w:rsid w:val="2BE2401C"/>
    <w:rsid w:val="2C2F6B82"/>
    <w:rsid w:val="309D2B0C"/>
    <w:rsid w:val="31F54060"/>
    <w:rsid w:val="3261294C"/>
    <w:rsid w:val="32AA30F7"/>
    <w:rsid w:val="3385070E"/>
    <w:rsid w:val="351148B8"/>
    <w:rsid w:val="35A162DF"/>
    <w:rsid w:val="35BF1816"/>
    <w:rsid w:val="3716652F"/>
    <w:rsid w:val="371D3482"/>
    <w:rsid w:val="390213CF"/>
    <w:rsid w:val="398268AC"/>
    <w:rsid w:val="3A654A5B"/>
    <w:rsid w:val="3ADC2577"/>
    <w:rsid w:val="3B1B6EC7"/>
    <w:rsid w:val="3B820492"/>
    <w:rsid w:val="3C3B6CBF"/>
    <w:rsid w:val="3C3F757F"/>
    <w:rsid w:val="3CE04773"/>
    <w:rsid w:val="3DF14E2E"/>
    <w:rsid w:val="3E200E5C"/>
    <w:rsid w:val="3F512FA9"/>
    <w:rsid w:val="3FB35B5F"/>
    <w:rsid w:val="3FEE4231"/>
    <w:rsid w:val="40710C22"/>
    <w:rsid w:val="416D75B5"/>
    <w:rsid w:val="42D320B6"/>
    <w:rsid w:val="43682315"/>
    <w:rsid w:val="43943774"/>
    <w:rsid w:val="445A32AC"/>
    <w:rsid w:val="44833D16"/>
    <w:rsid w:val="453838E5"/>
    <w:rsid w:val="46044DED"/>
    <w:rsid w:val="460E5236"/>
    <w:rsid w:val="47327EBC"/>
    <w:rsid w:val="48214F76"/>
    <w:rsid w:val="48474048"/>
    <w:rsid w:val="48653F3C"/>
    <w:rsid w:val="48AC0882"/>
    <w:rsid w:val="48DD3ABC"/>
    <w:rsid w:val="49300CEB"/>
    <w:rsid w:val="4AED4F92"/>
    <w:rsid w:val="4C79671B"/>
    <w:rsid w:val="4F5C50D6"/>
    <w:rsid w:val="51557BFC"/>
    <w:rsid w:val="524A20BD"/>
    <w:rsid w:val="52815719"/>
    <w:rsid w:val="53BF42A9"/>
    <w:rsid w:val="54A953A8"/>
    <w:rsid w:val="555F4765"/>
    <w:rsid w:val="560D17EA"/>
    <w:rsid w:val="562D4237"/>
    <w:rsid w:val="56920B58"/>
    <w:rsid w:val="580023CB"/>
    <w:rsid w:val="595716E6"/>
    <w:rsid w:val="5A833BFE"/>
    <w:rsid w:val="5B2F0D13"/>
    <w:rsid w:val="5B3103BA"/>
    <w:rsid w:val="5B927CC4"/>
    <w:rsid w:val="5BC4077D"/>
    <w:rsid w:val="5C6B1112"/>
    <w:rsid w:val="5DF75816"/>
    <w:rsid w:val="5E6C13D9"/>
    <w:rsid w:val="5E787C4A"/>
    <w:rsid w:val="5EC307F3"/>
    <w:rsid w:val="5F315833"/>
    <w:rsid w:val="600F1ACB"/>
    <w:rsid w:val="605509A9"/>
    <w:rsid w:val="62C2521F"/>
    <w:rsid w:val="630818F4"/>
    <w:rsid w:val="634C7490"/>
    <w:rsid w:val="635A15AD"/>
    <w:rsid w:val="645E2AE1"/>
    <w:rsid w:val="64835AE3"/>
    <w:rsid w:val="6525315D"/>
    <w:rsid w:val="65C50FC8"/>
    <w:rsid w:val="66696544"/>
    <w:rsid w:val="66D01AF4"/>
    <w:rsid w:val="67EE6D37"/>
    <w:rsid w:val="681D64B9"/>
    <w:rsid w:val="686062E1"/>
    <w:rsid w:val="699A3BB0"/>
    <w:rsid w:val="69BE19BE"/>
    <w:rsid w:val="6A434632"/>
    <w:rsid w:val="6ADB38D8"/>
    <w:rsid w:val="6B842A13"/>
    <w:rsid w:val="6BF80DA2"/>
    <w:rsid w:val="6C101972"/>
    <w:rsid w:val="6C563101"/>
    <w:rsid w:val="6C8D2FC3"/>
    <w:rsid w:val="6CF5631D"/>
    <w:rsid w:val="6E6D0DB2"/>
    <w:rsid w:val="6EBB275F"/>
    <w:rsid w:val="703A0FB9"/>
    <w:rsid w:val="70982BC6"/>
    <w:rsid w:val="73734595"/>
    <w:rsid w:val="7456013E"/>
    <w:rsid w:val="75B936BD"/>
    <w:rsid w:val="76057838"/>
    <w:rsid w:val="762B200F"/>
    <w:rsid w:val="77020504"/>
    <w:rsid w:val="77637E3B"/>
    <w:rsid w:val="77982210"/>
    <w:rsid w:val="77CA1E46"/>
    <w:rsid w:val="788E32BB"/>
    <w:rsid w:val="792C4900"/>
    <w:rsid w:val="7B1505D6"/>
    <w:rsid w:val="7B765AB4"/>
    <w:rsid w:val="7C040A33"/>
    <w:rsid w:val="7C36365E"/>
    <w:rsid w:val="7CD9198C"/>
    <w:rsid w:val="7D374527"/>
    <w:rsid w:val="7DEB5F8D"/>
    <w:rsid w:val="7EAC3335"/>
    <w:rsid w:val="7F23244B"/>
    <w:rsid w:val="7F5D1976"/>
    <w:rsid w:val="7FDB7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1"/>
    <w:qFormat/>
    <w:uiPriority w:val="0"/>
    <w:pPr>
      <w:keepNext/>
      <w:keepLines/>
      <w:spacing w:before="260" w:after="260" w:line="360" w:lineRule="auto"/>
      <w:outlineLvl w:val="1"/>
    </w:pPr>
    <w:rPr>
      <w:rFonts w:ascii="Arial" w:hAnsi="Arial" w:eastAsia="黑体"/>
      <w:b/>
      <w:sz w:val="36"/>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ody Text"/>
    <w:basedOn w:val="1"/>
    <w:unhideWhenUsed/>
    <w:qFormat/>
    <w:uiPriority w:val="99"/>
    <w:pPr>
      <w:spacing w:after="120"/>
    </w:pPr>
  </w:style>
  <w:style w:type="paragraph" w:styleId="5">
    <w:name w:val="footer"/>
    <w:basedOn w:val="1"/>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customStyle="1" w:styleId="11">
    <w:name w:val="标题 2 字符"/>
    <w:link w:val="3"/>
    <w:qFormat/>
    <w:uiPriority w:val="0"/>
    <w:rPr>
      <w:rFonts w:ascii="Arial" w:hAnsi="Arial" w:eastAsia="黑体"/>
      <w:b/>
      <w:kern w:val="2"/>
      <w:sz w:val="36"/>
    </w:rPr>
  </w:style>
  <w:style w:type="character" w:customStyle="1" w:styleId="12">
    <w:name w:val="页眉 Char"/>
    <w:link w:val="13"/>
    <w:qFormat/>
    <w:uiPriority w:val="0"/>
    <w:rPr>
      <w:sz w:val="18"/>
    </w:rPr>
  </w:style>
  <w:style w:type="paragraph" w:customStyle="1" w:styleId="13">
    <w:name w:val="页眉1"/>
    <w:basedOn w:val="1"/>
    <w:link w:val="12"/>
    <w:qFormat/>
    <w:uiPriority w:val="0"/>
    <w:pPr>
      <w:pBdr>
        <w:bottom w:val="single" w:color="auto" w:sz="6" w:space="1"/>
      </w:pBdr>
      <w:tabs>
        <w:tab w:val="center" w:pos="4153"/>
        <w:tab w:val="right" w:pos="8306"/>
      </w:tabs>
      <w:snapToGrid w:val="0"/>
      <w:jc w:val="center"/>
    </w:pPr>
    <w:rPr>
      <w:sz w:val="18"/>
    </w:rPr>
  </w:style>
  <w:style w:type="character" w:customStyle="1" w:styleId="14">
    <w:name w:val="页脚 Char"/>
    <w:link w:val="15"/>
    <w:qFormat/>
    <w:uiPriority w:val="99"/>
    <w:rPr>
      <w:sz w:val="18"/>
    </w:rPr>
  </w:style>
  <w:style w:type="paragraph" w:customStyle="1" w:styleId="15">
    <w:name w:val="页脚1"/>
    <w:basedOn w:val="1"/>
    <w:link w:val="14"/>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1014</Words>
  <Characters>1027</Characters>
  <Lines>7</Lines>
  <Paragraphs>2</Paragraphs>
  <TotalTime>0</TotalTime>
  <ScaleCrop>false</ScaleCrop>
  <LinksUpToDate>false</LinksUpToDate>
  <CharactersWithSpaces>1040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2025-07-08T08:29:00Z</dcterms:created>
  <dc:creator>葛利</dc:creator>
  <cp:lastModifiedBy>氧化</cp:lastModifiedBy>
  <cp:lastPrinted>2019-09-25T07:32:00Z</cp:lastPrinted>
  <dcterms:modified xsi:type="dcterms:W3CDTF">2025-07-09T04:46:02Z</dcterms:modified>
  <dc:title>现场测试授权书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_dlc_DocId">
    <vt:lpwstr>S546X7MTQATS-6-309</vt:lpwstr>
  </property>
  <property fmtid="{D5CDD505-2E9C-101B-9397-08002B2CF9AE}" pid="4" name="_dlc_DocIdItemGuid">
    <vt:lpwstr>5adf2cda-c116-46bc-b173-c53038fb541c</vt:lpwstr>
  </property>
  <property fmtid="{D5CDD505-2E9C-101B-9397-08002B2CF9AE}" pid="5" name="_dlc_DocIdUrl">
    <vt:lpwstr>http://sharepoint/_layouts/DocIdRedir.aspx?ID=S546X7MTQATS-6-309, S546X7MTQATS-6-309</vt:lpwstr>
  </property>
  <property fmtid="{D5CDD505-2E9C-101B-9397-08002B2CF9AE}" pid="6" name="ICV">
    <vt:lpwstr>39D319DEA0E14C8FBBB0299F9C2380F5</vt:lpwstr>
  </property>
  <property fmtid="{D5CDD505-2E9C-101B-9397-08002B2CF9AE}" pid="7" name="KSOTemplateDocerSaveRecord">
    <vt:lpwstr>eyJoZGlkIjoiMDkyN2ZiN2E0MjgzMWZjMDIzNDM0YjMxY2M0Y2NmOWEiLCJ1c2VySWQiOiI0MTAyNDE0MTMifQ==</vt:lpwstr>
  </property>
</Properties>
</file>