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Rəhbərlik üçün gündəlik xülasə</w:t>
      </w:r>
    </w:p>
    <w:p>
      <w:pPr>
        <w:pStyle w:val="Small"/>
      </w:pPr>
      <w:r>
        <w:t xml:space="preserve">İqtisadiyyat Nazirliyi · MİİS §15.5.3 risk bölməsi · vəziyyət 2026-10-06 · baza B-26603945f6</w:t>
      </w:r>
    </w:p>
    <w:p>
      <w:pPr>
        <w:pStyle w:val="Heading1"/>
      </w:pPr>
      <w:r>
        <w:t xml:space="preserve">Bu günün xülasəsi</w:t>
      </w:r>
    </w:p>
    <w:p>
      <w:r>
        <w:t xml:space="preserve">Vəziyyət tarixi 2026-10-06. Yüksək prioritetli risklər: 2 (R12 İnflyasiyanın hədəf diapazonundan yuxarı olması; R01 Neft qiymətinin kəskin enməsi). Xəbərdarlıqlar: 18, o cümlədən 2 yüksək ciddilikli.</w:t>
      </w:r>
    </w:p>
    <w:p>
      <w:r>
        <w:t xml:space="preserve">Risk balansı indeksi (2026, məlumat əsaslı): 41,3 — risklər müsbət makroiqtisadi nəticələrə doğru meyllidir (&lt;45). Qeyri-neft artımı 2027: median 5,43 %, 5 % kvantil (GaR) 0,10 %. Brent spot 113,96 USD (2026-09-29), baza fərziyyəsi 69,0 USD.</w:t>
      </w:r>
    </w:p>
    <w:p>
      <w:pPr>
        <w:pStyle w:val="Heading1"/>
      </w:pPr>
      <w:r>
        <w:t xml:space="preserve">Ən yüksək risklər</w:t>
      </w:r>
    </w:p>
    <w:tbl>
      <w:tblPr>
        <w:tblStyle w:val="TableGrid"/>
        <w:tblW w:w="9638" w:type="dxa"/>
        <w:tblLayout w:type="fixed"/>
      </w:tblPr>
      <w:tblGrid>
        <w:gridCol w:w="2506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Risk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Ailə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Sahib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Ehtimal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T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Skor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Prioritet</w:t>
            </w:r>
          </w:p>
        </w:tc>
        <w:tc>
          <w:tcPr>
            <w:tcW w:w="79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Əvvəlki skor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R12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İnflyasiyanın hədəf diapazonundan yuxarı olması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0,47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25,0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 qiymətinin kəskin enməsi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Nazirliyi; ARDNF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0,48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R13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artımının kəskin zəifləməsi (Growth-at-Risk)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0,14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R03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Manatın məzənnəsinə təzyiq və devalvasiya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R07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Pul baratlarının kəskin azalması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XSI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Mərkəzi Bank (AMB)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0,22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R14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keçidi: karbohidrogen tələbinin struktur azalması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DAX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ARDNF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0,25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12,0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R05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ölkələrdə iqtisadi tənəzzül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XSI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0,14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R04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Bank sektorunda aktiv keyfiyyətinin pisləşməsi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79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79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Xəbərdarlıqlar</w:t>
      </w:r>
    </w:p>
    <w:tbl>
      <w:tblPr>
        <w:tblStyle w:val="TableGrid"/>
        <w:tblW w:w="9638" w:type="dxa"/>
        <w:tblLayout w:type="fixed"/>
      </w:tblPr>
      <w:tblGrid>
        <w:gridCol w:w="3277"/>
        <w:gridCol w:w="2120"/>
        <w:gridCol w:w="2120"/>
        <w:gridCol w:w="212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Ciddilik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Növ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Risk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Mesaj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 prioritet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R12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İnflyasiyanın hədəf diapazonundan yuxarı olması: ehtimal 47%, skor 20 (P 4 × T 5, ölçü: inflyasiya)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yüksək prioritet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 qiymətinin kəskin enməsi: ehtimal 48%, skor 16 (P 4 × T 4, ölçü: qeyri-neft ÜDM)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göstərici həddi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geosiyasi risk (Rusiya, Ukrayna, İsrail, Türkiyə ortası): son dəyər 1,134 (2026-09), tarixi paylanmanın 91-cı faizi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göstərici həddi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FR10 izləmə siyahısındakı emal sahələri: 3 (2025)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köhnəlib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Brent mərkəzi yolu 84 USD (canlı) — makro fərziyyə 69 USD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(spot): 114 (2026-09-29), z = 2,7 — xəbərdarlıq ↑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2026 illik ortası (YTD + spot): 98,36 (2026-09-29), z = 6,9 — xəbərdarlıq ↑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Azeri Light (proksi) vs FR1 ixrac qiyməti: 114,6 (2026-09-29), z = 3,0 — xəbərdarlıq ↑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 xərcləri: icra (illik planın %-i): 54,83 (2026-08-01), z = −2,4 — xəbərdarlıq ↓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büdcəsinin balansı (Yanvar–ay) vs illik fərziyyə: 3716 (2026-08-01), z = 4,5 — xəbərdarlıq ↑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gündəlik monitor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aktivləri vs Nazirlik ilsonu fərziyyəsi: 7.26e+04 (2026-06-30), z = 4,6 — xəbərdarlıq ↑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məlumat köhnəlib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minfin (Maliyyə Nazirliyi: təsdiq olunmuş büdcə göstəriciləri): son müşahidə 2025-01-01, 643 gün — köhnə; status: ok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model riski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R19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Proqnoz qeyri-müəyyənliyi / model riski: model riski (P×T deyil): köhnəlməmiş konsensus (fr1, imf, mspec) ilə baza fərqi; köhnəlmiş xaric: bu60;caem;v8; hədd 0,5 f.b.; əlverişsiz fərq 1,11 f.b. (hədd 0,5 f.b.; alternativ paylanma FR2_model_risk.csv)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Nə dəyişdi</w:t>
      </w:r>
    </w:p>
    <w:p>
      <w:pPr>
        <w:pStyle w:val="Small"/>
      </w:pPr>
      <w:r>
        <w:t xml:space="preserve">Müqayisə: 2026-10-02 → 2026-10-06</w:t>
      </w:r>
    </w:p>
    <w:tbl>
      <w:tblPr>
        <w:tblStyle w:val="TableGrid"/>
        <w:tblW w:w="9638" w:type="dxa"/>
        <w:tblLayout w:type="fixed"/>
      </w:tblPr>
      <w:tblGrid>
        <w:gridCol w:w="3277"/>
        <w:gridCol w:w="2120"/>
        <w:gridCol w:w="2120"/>
        <w:gridCol w:w="212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Risk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Əvvəl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İndi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R12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İnflyasiyanın hədəf diapazonundan yuxarı olması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25,0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 qiymətinin kəskin enməsi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16,0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R03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Manatın məzənnəsinə təzyiq və devalvasiya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8,00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R14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keçidi: karbohidrogen tələbinin struktur azalması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12,0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balansının pisləşməsi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20,0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R18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Dünya ərzaq qiymətlərinin şoku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yeni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R08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Güclü zəlzələ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R09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Quraqlıq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R17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idxal qiymətlərinin kəskin artımı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yeni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R19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Proqnoz qeyri-müəyyənliyi / model riski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yeni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Style w:val="TableGrid"/>
        <w:tblW w:w="9638" w:type="dxa"/>
        <w:tblLayout w:type="fixed"/>
      </w:tblPr>
      <w:tblGrid>
        <w:gridCol w:w="3277"/>
        <w:gridCol w:w="2120"/>
        <w:gridCol w:w="2120"/>
        <w:gridCol w:w="212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Axın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Əvvəlki son tarix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Son tarix</w:t>
            </w:r>
          </w:p>
        </w:tc>
        <w:tc>
          <w:tcPr>
            <w:tcW w:w="212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Yeni müşahidə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bfb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2026-10-01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2026-10-01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36,0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cbar_fx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2026-10-05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2026-10-06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42,0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eurusd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2026-09-25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2026-10-02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usgs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2026-08-14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2026-10-01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ust10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2026-09-30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2026-10-02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vix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2026-09-30</w:t>
            </w:r>
          </w:p>
        </w:tc>
        <w:tc>
          <w:tcPr>
            <w:tcW w:w="212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2026-10-02</w:t>
            </w:r>
          </w:p>
        </w:tc>
        <w:tc>
          <w:tcPr>
            <w:tcW w:w="212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Məlumatın proqnozlara təsiri (D6)</w:t>
      </w:r>
    </w:p>
    <w:p>
      <w:pPr>
        <w:pStyle w:val="Small"/>
      </w:pPr>
      <w:r>
        <w:t xml:space="preserve">Bugünkü məlumatın rəsmi bazadan sapması → proqnoz təsiri (şərti hesablama, proqnoz deyil).</w:t>
      </w:r>
    </w:p>
    <w:tbl>
      <w:tblPr>
        <w:tblStyle w:val="TableGrid"/>
        <w:tblW w:w="9638" w:type="dxa"/>
        <w:tblLayout w:type="fixed"/>
      </w:tblPr>
      <w:tblGrid>
        <w:gridCol w:w="2506"/>
        <w:gridCol w:w="891"/>
        <w:gridCol w:w="891"/>
        <w:gridCol w:w="891"/>
        <w:gridCol w:w="891"/>
        <w:gridCol w:w="891"/>
        <w:gridCol w:w="891"/>
        <w:gridCol w:w="891"/>
        <w:gridCol w:w="891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Amil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Göstərici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Vahid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Bugünkü məlumatla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Fərq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Fərq, %</w:t>
            </w:r>
          </w:p>
        </w:tc>
        <w:tc>
          <w:tcPr>
            <w:tcW w:w="891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Kanal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62 492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62 826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334,1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64 194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64 519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325,8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0,51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51 556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51 925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369,1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0,72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54 152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54 826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673,7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4,29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7,33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2,50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135 253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145 616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10 363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7,66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147 432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164 103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16 672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40 198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44 960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4 762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42 220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49 928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7 708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18,3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888,0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1 452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564,5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63,6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240,8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912,4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671,6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278,9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(brent)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2 605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12 112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9 507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364,9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ssenarilərindən cari hesab elastikliyi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/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3,13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elastikliyi (ÜDM sabit)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1 643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15 981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14 338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872,4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ssenarilərindən cari hesab elastikliyi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hesab /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1,80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17,5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15,7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OxLon: Brent lo80/hi80 elastikliyi (ÜDM sabit)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51 556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51 945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388,6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0,75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54 152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54 920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768,1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1,42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5,96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7,23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büdcəsinin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888,0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1 446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558,3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büdcəsinin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240,8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828,7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587,9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62 492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62 844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351,7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 sapma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64 194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64 422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228,6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 multiplikatoru (Brent +10, xətti miqyas)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 (2015)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51 556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51 639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82,6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prosiklik investisiya reaksiyası (FR1-dən artıq hissə; simulate ilə eyni)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investisiya reaksiyasının İQİ təsiri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8,66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2,96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Brent → idxal (ərzaq daxil) qiymətləri → İQİ (vahid ötürmə 'cpi_ext')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 (2015)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54 152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55 135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982,4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1,81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prosiklik investisiya reaksiyası (FR1-dən artıq hissə; simulate ilə eyni)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7,72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0,56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R01 investisiya reaksiyasının İQİ təsiri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f.b.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2,83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RU: Brent → idxal (ərzaq daxil) qiymətləri → İQİ (vahid ötürmə 'cpi_ext')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62 492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62 490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−1,59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64 194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64 176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−17,7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51 556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51 554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−1,76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qeyri-neft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2015 qiymətləri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54 152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54 133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−19,2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−0,02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İnflyasiya (İQİ)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7,14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135 253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135 248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−4,71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Nominal ÜDM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147 432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147 376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−55,5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40 198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40 195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−0,01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42 220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42 193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−26,9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888,0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887,1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−0,82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−0,09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policy_rate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AZN, cari qiymətlər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240,8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231,2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−9,64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MicroUnit zənciri FR1→… (polrate)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cpi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İQİ 2026 illik orta (Yanvar–8. ay + son ay saxlanılır)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cpi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İQİ 2026 illik orta (Yanvar–8. ay + son ay saxlanılır)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cpi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İQİ 2026 illik orta (Yanvar–8. ay + son ay saxlanılır)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−0,30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dsk_gdp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 artımı (Yanvar–ay)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3,77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−2,57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dsk_gdp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Real ÜDM artımı (Yanvar–ay)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0,25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dsk_gdp_nonoil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ÜDM artımı (Yanvar–ay)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5,31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−3,21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dsk_gdp_nonoil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ÜDM artımı (Yanvar–ay)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0,67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1,43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dsk_gdp_oil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Neft-qaz ÜDM artımı (Yanvar–ay)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−0,80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müşahidə hesabı (Yanvar–ay faktiki; qalan aylarda son templər saxlanılır)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budget_execution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Dövlət büdcəsi gəlirləri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AZN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40 198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39 730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−467,9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−1,16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 tempi (Yanvar–ay icrası / ötən ay payı; mövsümilik nəzərə alınmır)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gold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aktivləri (qızıl yenidənqiymətləndirməsi)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72 597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73 378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781,4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1,08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qızıl payı × XAU dəyişməsi (AMB bülleteni, AZN; USD peqi)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eur_usd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aktivləri (EUR portfelinin yenidənqiymətləndirməsi)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mln USD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72 597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72 402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−194,4</w:t>
            </w:r>
          </w:p>
        </w:tc>
        <w:tc>
          <w:tcPr>
            <w:tcW w:w="891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−0,27</w:t>
            </w:r>
          </w:p>
        </w:tc>
        <w:tc>
          <w:tcPr>
            <w:tcW w:w="891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EUR mövqeyi × EUR/USD dəyişməsi (AMB kross-kursu)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Paylanmalar</w:t>
      </w:r>
    </w:p>
    <w:p>
      <w:pPr>
        <w:pStyle w:val="Heading2"/>
      </w:pPr>
      <w:r>
        <w:t xml:space="preserve">Qeyri-neft ÜDM-in real artımı, %</w:t>
      </w:r>
    </w:p>
    <w:tbl>
      <w:tblPr>
        <w:tblStyle w:val="TableGrid"/>
        <w:tblW w:w="9638" w:type="dxa"/>
        <w:tblLayout w:type="fixed"/>
      </w:tblPr>
      <w:tblGrid>
        <w:gridCol w:w="2506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Baxış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P10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P25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Median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P75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ES10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1,48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1,93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2,54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3,17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3,79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4,39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4,83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1,29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5,43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1,33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3,32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5,43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7,40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9,17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−0,48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60720" cy="2304288"/>
            <wp:docPr id="1" name="Qrafik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İnflyasiya, %</w:t>
      </w:r>
    </w:p>
    <w:tbl>
      <w:tblPr>
        <w:tblStyle w:val="TableGrid"/>
        <w:tblW w:w="9638" w:type="dxa"/>
        <w:tblLayout w:type="fixed"/>
      </w:tblPr>
      <w:tblGrid>
        <w:gridCol w:w="2506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Baxış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P10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P25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Median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P75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ES10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3,76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4,69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5,57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6,59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7,57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8,16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8,39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3,50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5,74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8,61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14,7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60720" cy="2304288"/>
            <wp:docPr id="2" name="Qrafik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Büdcə balansı, % ÜDM</w:t>
      </w:r>
    </w:p>
    <w:tbl>
      <w:tblPr>
        <w:tblStyle w:val="TableGrid"/>
        <w:tblW w:w="9638" w:type="dxa"/>
        <w:tblLayout w:type="fixed"/>
      </w:tblPr>
      <w:tblGrid>
        <w:gridCol w:w="2506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Baxış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P10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P25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Median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P75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ES10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0,66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0,42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0,66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1,14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1,30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−0,08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−1,50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−1,08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0,77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1,39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1,83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−1,72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60720" cy="2304288"/>
            <wp:docPr id="3" name="Qrafik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Brent, USD/barel</w:t>
      </w:r>
    </w:p>
    <w:tbl>
      <w:tblPr>
        <w:tblStyle w:val="TableGrid"/>
        <w:tblW w:w="9638" w:type="dxa"/>
        <w:tblLayout w:type="fixed"/>
      </w:tblPr>
      <w:tblGrid>
        <w:gridCol w:w="2506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rPr>
          <w:tblHeader/>
        </w:trPr>
        <w:tc>
          <w:tcPr>
            <w:tcW w:w="2506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Baxış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İl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Baza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P10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P25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Median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P75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P90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P95</w:t>
            </w:r>
          </w:p>
        </w:tc>
        <w:tc>
          <w:tcPr>
            <w:tcW w:w="713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ES10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73,9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74,5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80,7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87,0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91,6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93,5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93,6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72,8</w:t>
            </w:r>
          </w:p>
        </w:tc>
      </w:tr>
      <w:tr>
        <w:tc>
          <w:tcPr>
            <w:tcW w:w="2506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Baza mərkəzli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2 027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69,0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32,6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38,7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52,7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68,1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86,6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96,8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103,3</w:t>
            </w:r>
          </w:p>
        </w:tc>
        <w:tc>
          <w:tcPr>
            <w:tcW w:w="713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32,8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60720" cy="2304288"/>
            <wp:docPr id="4" name="Qrafik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Stress testləri S1–S8</w:t>
      </w:r>
    </w:p>
    <w:tbl>
      <w:tblPr>
        <w:tblStyle w:val="TableGrid"/>
        <w:tblW w:w="9638" w:type="dxa"/>
        <w:tblLayout w:type="fixed"/>
      </w:tblPr>
      <w:tblGrid>
        <w:gridCol w:w="3277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Ssenari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Şok vektoru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Göstərici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Sapma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Sapma (tədbirlə)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Davamlı aşağı neft qiyməti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2027–2030: 45 USD/barel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−1,31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−0,98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Davamlı aşağı neft qiyməti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2027–2030: 45 USD/barel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−3,58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−3,42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Davamlı aşağı neft qiyməti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2027–2030: 45 USD/barel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−0,73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S2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ölkələrdə resessiya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artımı baza yolundan 2027: −3 f.b., 2028: −1,5 f.b.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−0,41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−0,41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S2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ölkələrdə resessiya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artımı baza yolundan 2027: −3 f.b., 2028: −1,5 f.b.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−0,14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−0,14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S2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ölkələrdə resessiya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tərəfdaş artımı baza yolundan 2027: −3 f.b., 2028: −1,5 f.b.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−0,03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Məzənnəyə təzyiq və ehtiyatların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 + 2027-də 25% devalvasiya (vahid məzənnə modulu)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−1,52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−1,17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Məzənnəyə təzyiq və ehtiyatların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 + 2027-də 25% devalvasiya (vahid məzənnə modulu)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1,15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Məzənnəyə təzyiq və ehtiyatların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S1 + 2027-də 25% devalvasiya (vahid məzənnə modulu)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−0,27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−0,73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münaqişənin eskalasiyası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pul baratları 2027: −30%; tərəfdaş −2 f.b.; kredit faizi +1 f.b. (2014–2015 analoqu)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−0,96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−0,96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münaqişənin eskalasiyası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pul baratları 2027: −30%; tərəfdaş −2 f.b.; kredit faizi +1 f.b. (2014–2015 analoqu)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−0,14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−0,14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münaqişənin eskalasiyası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pul baratları 2027: −30%; tərəfdaş −2 f.b.; kredit faizi +1 f.b. (2014–2015 analoqu)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Güclü seysmik hadisə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birbaşa zərər ÜDM-in 3%-i (M ≥ 6 üçün P90); bərpa 25/50/25%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−0,73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−0,73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Güclü seysmik hadisə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birbaşa zərər ÜDM-in 3%-i (M ≥ 6 üçün P90); bərpa 25/50/25%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0,11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0,11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Güclü seysmik hadisə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birbaşa zərər ÜDM-in 3%-i (M ≥ 6 üçün P90); bərpa 25/50/25%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−0,46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 — tələbin struktur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mərkəzi yoldan hər il −5% (2027-dən)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−0,17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 — tələbin struktur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mərkəzi yoldan hər il −5% (2027-dən)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−0,47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Enerji keçidi — tələbin struktur azalması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mərkəzi yoldan hər il −5% (2027-dən)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−0,04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Şiddətli quraqlıq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SPI = −2,0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−0,15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−0,15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Şiddətli quraqlıq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SPI = −2,0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Şiddətli quraqlıq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2027: SPI = −2,0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neft şokunun geri dönməsi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2027: 60 USD, 2028–2030: makro baza yolu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qeyri-neft artımı,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−0,46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−0,45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neft şokunun geri dönməsi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2027: 60 USD, 2028–2030: makro baza yolu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inflyasiya, f.b.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−1,17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−1,16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S8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Cari neft şokunun geri dönməsi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Brent 2027: 60 USD, 2028–2030: makro baza yolu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balansı, % ÜDM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−0,10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−0,10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</w:pPr>
      <w:r>
        <w:t xml:space="preserve">Tədbirlər portfeli</w:t>
      </w:r>
    </w:p>
    <w:p>
      <w:r>
        <w:t xml:space="preserve">Optimal portfel (büdcə 500 mln AZN): T04;T06;T08;T10;T23;T25;T26;T27;T29; xərc 497,3 mln AZN; risk azalması 2,24 %; risk iştahı ödənilmir.</w:t>
      </w:r>
    </w:p>
    <w:tbl>
      <w:tblPr>
        <w:tblStyle w:val="TableGrid"/>
        <w:tblW w:w="9638" w:type="dxa"/>
        <w:tblLayout w:type="fixed"/>
      </w:tblPr>
      <w:tblGrid>
        <w:gridCol w:w="3277"/>
        <w:gridCol w:w="1272"/>
        <w:gridCol w:w="1272"/>
        <w:gridCol w:w="1272"/>
        <w:gridCol w:w="1272"/>
        <w:gridCol w:w="1272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Tədbir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Ad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Strategiya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Məsul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Xərc, mln AZN</w:t>
            </w:r>
          </w:p>
        </w:tc>
        <w:tc>
          <w:tcPr>
            <w:tcW w:w="1272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Status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T02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vəsaitlərinin stress ssenarisi altında adekvatlığının illik qiymətləndirilməsi (ən azı 3 illik neft gəliri itkisinin örtülməsi)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ARDNF; 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0,40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Neft qiymətinin gündəlik monitorinqi və başabaş həddi üzrə avtomatik xəbərdarlıq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Makroprudensial buferlərin (kontrtsiklik kapital buferi) kalibrlənməsinin xarici faiz şokları ilə yoxlanılması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0,80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Məzənnə rejiminə təzyiq siqnalları üzrə AMB ilə aylıq məlumat mübadiləsi (ehtiyatlar; valyuta tələbi)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(AMB); İqtisadiyyat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Devalvasiya ssenarisi üçün inflyasiya gözləntilərinin idarə olunması planı (kommunikasiya; hədəfli sosial transfer)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Mərkəzi Bank (AMB); Əmək və Əhalinin Sosial Müdafiəsi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120,0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AMB-dən bank sektorunun problemli kredit və kapital adekvatlığı sıralarının alınması və R04-ün kəmiyyət metoduna keçirilməsi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Mərkəzi Bank (AMB)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0,10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T08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İxrac bazarlarının şaxələndirilməsi proqramı (qeyri-neft ixracında ən böyük tərəfdaşın payının azaldılması)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AZPROMO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60,0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Geosiyasi eskalasiya ssenariləri üzrə tranzit və logistika marşrutlarının alternativ planı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Rəqəmsal İnkişaf və Nəqliyyat Nazirliyi; İqtisadiyyat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150,0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T11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Regional ölkə-üzrə geosiyasi risk indekslərinin (Rusiya; Ukrayna; İsrail; Türkiyə) aylıq monitorinqi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T14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FHN zərər məlumatlarının alınması və zəlzələ həssaslıq parametrlərinin kalibrlənməsi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Nazirliyi; Fövqəladə Hallar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0,20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Hidroloji sıraların (çay sərfi; Xəzərin səviyyəsi) alınması və daşqın modulunun kəmiyyət metoduna keçirilməsi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Ekologiya və Təbii Sərvətlər Nazirliyi; İqtisadiyyat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T18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Orta müddətli xərclər çərçivəsində qeyri-neft büdcə kəsiri lövbərinin stress ssenariləri ilə yoxlanılması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Growth-at-Risk göstəricisinin rüblük rəhbərlik icmalına daxil edilməsi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icrada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T23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FR12 erkən xəbərdarlıq balı 0,25-dən yuxarı olan bazarlarda (tikinti; ticarət) rəqabət təhlilinin başladılması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Rəqabətin Mühafizəsi Agentliyi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1,00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T25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Əsas idxal məhsulları üzrə gömrük rüsumlarının şok halında müvəqqəti azaldılması mexanizmi və idxal mənbələrinin şaxələndirilməsi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Nazirlər Kabineti; İqtisadiyyat Nazirliyi; Dövlət Gömrük Komitəsi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80,0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T26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Büdcənin neft gəlirlərinin opsion hedcinqi (put opsionları; büdcə neft gəlirinin 25%-i; icra qiyməti baza Brent-in 90%-i)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ötürmə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Nazirliyi; ARDNF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30,8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T27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 valyuta strukturunun yenidən balanslaşdırılması (EUR/GBP/digər valyuta payının 25% azaldılması — öhdəlik strukturuna uyğunlaşdırma)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ARDNF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T29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Büdcə ehtiyat (kontingent) fondu: xərclərin ~1%-i (400 mln AZN) — fövqəladə hallarda birinci zərər qatı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qəbul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48,0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T30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Model riski: baza proqnozunun bölmələrarası konsensusla (D3) rüblük tutuşdurulması; fərq hədd (0,5 f.b.) aşdıqda büdcə planlamasında ehtiyatlı bazanın tətbiqi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azaltma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İqtisadiyyat Nazirliyi (risk bölməsi); Maliyyə Nazirliyi</w:t>
            </w:r>
          </w:p>
        </w:tc>
        <w:tc>
          <w:tcPr>
            <w:tcW w:w="1272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0,30</w:t>
            </w:r>
          </w:p>
        </w:tc>
        <w:tc>
          <w:tcPr>
            <w:tcW w:w="1272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təklif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Style w:val="TableGrid"/>
        <w:tblW w:w="9638" w:type="dxa"/>
        <w:tblLayout w:type="fixed"/>
      </w:tblPr>
      <w:tblGrid>
        <w:gridCol w:w="3277"/>
        <w:gridCol w:w="1590"/>
        <w:gridCol w:w="1590"/>
        <w:gridCol w:w="1590"/>
        <w:gridCol w:w="1590"/>
      </w:tblGrid>
      <w:tr>
        <w:trPr>
          <w:tblHeader/>
        </w:trPr>
        <w:tc>
          <w:tcPr>
            <w:tcW w:w="3277" w:type="dxa"/>
            <w:shd w:val="clear" w:color="auto" w:fill="E1F0F2"/>
          </w:tcPr>
          <w:p>
            <w:pPr>
              <w:spacing w:before="0" w:after="0"/>
            </w:pPr>
            <w:r>
              <w:rPr>
                <w:b/>
                <w:sz w:val="17"/>
              </w:rPr>
              <w:t xml:space="preserve">Büdcə</w:t>
            </w:r>
          </w:p>
        </w:tc>
        <w:tc>
          <w:tcPr>
            <w:tcW w:w="159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Xərc</w:t>
            </w:r>
          </w:p>
        </w:tc>
        <w:tc>
          <w:tcPr>
            <w:tcW w:w="159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Risk azalması, %</w:t>
            </w:r>
          </w:p>
        </w:tc>
        <w:tc>
          <w:tcPr>
            <w:tcW w:w="159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Tədbir sayı</w:t>
            </w:r>
          </w:p>
        </w:tc>
        <w:tc>
          <w:tcPr>
            <w:tcW w:w="1590" w:type="dxa"/>
            <w:shd w:val="clear" w:color="auto" w:fill="E1F0F2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 xml:space="preserve">İştah ödənilir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25,0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13,5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0,95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44,3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1,24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92,3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1,61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6,00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200,0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152,3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1,78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300,0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272,3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2,12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8,00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500,0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497,3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2,24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9,00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750,0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742,3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2,60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1 000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742,3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2,60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11,0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1 500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1 352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3,11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2 000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1 742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3,47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12,0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  <w:tr>
        <w:tc>
          <w:tcPr>
            <w:tcW w:w="3277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3 000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1 742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3,47</w:t>
            </w:r>
          </w:p>
        </w:tc>
        <w:tc>
          <w:tcPr>
            <w:tcW w:w="1590" w:type="dxa"/>
          </w:tcPr>
          <w:p>
            <w:pPr>
              <w:spacing w:before="0" w:after="0"/>
              <w:jc w:val="right"/>
            </w:pPr>
            <w:r>
              <w:rPr>
                <w:sz w:val="17"/>
              </w:rPr>
              <w:t xml:space="preserve">12,0</w:t>
            </w:r>
          </w:p>
        </w:tc>
        <w:tc>
          <w:tcPr>
            <w:tcW w:w="1590" w:type="dxa"/>
          </w:tcPr>
          <w:p>
            <w:pPr>
              <w:spacing w:before="0" w:after="0"/>
            </w:pPr>
            <w:r>
              <w:rPr>
                <w:sz w:val="17"/>
              </w:rPr>
              <w:t xml:space="preserve">xeyr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Small"/>
      </w:pPr>
      <w:r>
        <w:t xml:space="preserve">Mənbə: RiskUnit/output (möhür c2ee7362c7, 2026-10-06 08:50). Risk bölməsi öz mərkəzi proqnozunu vermir; bazalar makro və mikro bölmələrdəndir.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1"/>
        <w:lang w:val="az-Latn-AZ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60"/>
    </w:pPr>
    <w:rPr>
      <w:b/>
      <w:color w:val="0A5560"/>
      <w:sz w:val="40"/>
    </w:rPr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E6F7C"/>
      <w:sz w:val="30"/>
    </w:rPr>
  </w:style>
  <w:style w:type="paragraph" w:styleId="Heading2">
    <w:name w:val="heading 2"/>
    <w:basedOn w:val="Normal"/>
    <w:next w:val="Normal"/>
    <w:pPr>
      <w:keepNext/>
      <w:spacing w:before="220" w:after="80"/>
      <w:outlineLvl w:val="1"/>
    </w:pPr>
    <w:rPr>
      <w:b/>
      <w:sz w:val="24"/>
    </w:rPr>
  </w:style>
  <w:style w:type="paragraph" w:styleId="Small">
    <w:name w:val="Small"/>
    <w:basedOn w:val="Normal"/>
    <w:rPr>
      <w:color w:val="738190"/>
      <w:sz w:val="17"/>
    </w:rPr>
  </w:style>
  <w:style w:type="table" w:styleId="TableGrid">
    <w:name w:val="Table Grid"/>
    <w:tblPr>
      <w:tblBorders>
        <w:top w:val="single" w:sz="4" w:space="0" w:color="C9D2DA"/>
        <w:left w:val="single" w:sz="4" w:space="0" w:color="C9D2DA"/>
        <w:bottom w:val="single" w:sz="4" w:space="0" w:color="C9D2DA"/>
        <w:right w:val="single" w:sz="4" w:space="0" w:color="C9D2DA"/>
        <w:insideH w:val="single" w:sz="4" w:space="0" w:color="C9D2DA"/>
        <w:insideV w:val="single" w:sz="4" w:space="0" w:color="C9D2DA"/>
      </w:tblBorders>
      <w:tblCellMar>
        <w:left w:w="70" w:type="dxa"/>
        <w:right w:w="7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Rəhbərlik üçün gündəlik xülasə</dc:title>
  <dc:creator>Risk paneli</dc:creator>
  <dc:language>az-Latn-AZ</dc:language>
</cp:coreProperties>
</file>