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From Source to Structure:</w:t>
      </w:r>
    </w:p>
    <w:p>
      <w:pPr>
        <w:spacing w:after="200"/>
        <w:jc w:val="center"/>
      </w:pPr>
      <w:r>
        <w:rPr>
          <w:rFonts w:ascii="Times New Roman" w:cs="Times New Roman" w:eastAsia="Times New Roman" w:hAnsi="Times New Roman"/>
          <w:b/>
          <w:bCs/>
          <w:sz w:val="28"/>
          <w:szCs w:val="28"/>
        </w:rPr>
        <w:t xml:space="preserve">A Practitioner’s Pipeline for LLM-Mediated Knowledge Consolidation</w:t>
      </w:r>
    </w:p>
    <w:p>
      <w:pPr>
        <w:spacing w:after="80"/>
        <w:jc w:val="center"/>
      </w:pPr>
      <w:r>
        <w:rPr>
          <w:rFonts w:ascii="Times New Roman" w:cs="Times New Roman" w:eastAsia="Times New Roman" w:hAnsi="Times New Roman"/>
          <w:i/>
          <w:iCs/>
          <w:sz w:val="22"/>
          <w:szCs w:val="22"/>
        </w:rPr>
        <w:t xml:space="preserve">Working Paper — Draft for Discussion</w:t>
      </w:r>
    </w:p>
    <w:p>
      <w:pPr>
        <w:spacing w:after="400"/>
        <w:jc w:val="center"/>
      </w:pPr>
      <w:r>
        <w:rPr>
          <w:rFonts w:ascii="Times New Roman" w:cs="Times New Roman" w:eastAsia="Times New Roman" w:hAnsi="Times New Roman"/>
          <w:sz w:val="22"/>
          <w:szCs w:val="22"/>
        </w:rPr>
        <w:t xml:space="preserve">February 2026</w:t>
      </w:r>
    </w:p>
    <w:p>
      <w:pPr>
        <w:pStyle w:val="Heading1"/>
        <w:spacing w:before="360" w:after="120"/>
      </w:pPr>
      <w:r>
        <w:t xml:space="preserve">Abstract</w:t>
      </w:r>
    </w:p>
    <w:p>
      <w:pPr>
        <w:spacing w:after="160" w:line="360"/>
        <w:jc w:val="both"/>
      </w:pPr>
      <w:r>
        <w:rPr>
          <w:rFonts w:ascii="Times New Roman" w:cs="Times New Roman" w:eastAsia="Times New Roman" w:hAnsi="Times New Roman"/>
          <w:sz w:val="24"/>
          <w:szCs w:val="24"/>
        </w:rPr>
        <w:t xml:space="preserve">This paper describes a multi-stage pipeline for transforming primary source material—textbooks, handbooks, academic papers—into a structured, queryable knowledge base suitable for both human reference and large language model (LLM) consumption. The pipeline was developed iteratively through practical experimentation rather than from first principles, driven by the concrete constraint of producing knowledge representations that an LLM could reliably access, process, and reason over. We present the pipeline descriptively, identify the implicit design decisions and epistemological commitments it encodes, and propose a preliminary framework for understanding these decisions as a first approximation of best practices for LLM-mediated knowledge consolidation. This is an early-stage report on a working system; we offer it not as a definitive methodology but as a documented starting point for further investigation, iteration, and peer evaluation.</w:t>
      </w:r>
    </w:p>
    <w:p>
      <w:pPr>
        <w:pStyle w:val="Heading1"/>
        <w:spacing w:before="360" w:after="120"/>
      </w:pPr>
      <w:r>
        <w:t xml:space="preserve">1. Introduction</w:t>
      </w:r>
    </w:p>
    <w:p>
      <w:pPr>
        <w:spacing w:after="160" w:line="360"/>
        <w:ind w:firstLine="720"/>
        <w:jc w:val="both"/>
      </w:pPr>
      <w:r>
        <w:rPr>
          <w:rFonts w:ascii="Times New Roman" w:cs="Times New Roman" w:eastAsia="Times New Roman" w:hAnsi="Times New Roman"/>
          <w:sz w:val="24"/>
          <w:szCs w:val="24"/>
        </w:rPr>
        <w:t xml:space="preserve">The problem of transforming unstructured or semi-structured knowledge into representations that support efficient retrieval, reasoning, and application is well-studied across several disciplines, including knowledge engineering, ontology design, information extraction, and library science. The emergence of large language models as both consumers and producers of knowledge introduces new constraints and opportunities that existing frameworks do not fully address.</w:t>
      </w:r>
    </w:p>
    <w:p>
      <w:pPr>
        <w:spacing w:after="160" w:line="360"/>
        <w:ind w:firstLine="720"/>
        <w:jc w:val="both"/>
      </w:pPr>
      <w:r>
        <w:rPr>
          <w:rFonts w:ascii="Times New Roman" w:cs="Times New Roman" w:eastAsia="Times New Roman" w:hAnsi="Times New Roman"/>
          <w:sz w:val="24"/>
          <w:szCs w:val="24"/>
        </w:rPr>
        <w:t xml:space="preserve">This paper reports on a pipeline that was developed to meet a specific practical need: consolidating domain knowledge from authoritative primary sources into a form that an LLM could reliably access during interactive sessions. The system was not designed from theoretical first principles. Rather, it emerged through iterative experimentation—a series of conversations, tests, and refinements aimed at answering a deceptively simple question: what representation of domain knowledge allows an LLM to give the most accurate, well-grounded, and useful responses?</w:t>
      </w:r>
    </w:p>
    <w:p>
      <w:pPr>
        <w:spacing w:after="160" w:line="360"/>
        <w:ind w:firstLine="720"/>
        <w:jc w:val="both"/>
      </w:pPr>
      <w:r>
        <w:rPr>
          <w:rFonts w:ascii="Times New Roman" w:cs="Times New Roman" w:eastAsia="Times New Roman" w:hAnsi="Times New Roman"/>
          <w:sz w:val="24"/>
          <w:szCs w:val="24"/>
        </w:rPr>
        <w:t xml:space="preserve">The pipeline that emerged from this process transforms published source material through a sequence of stages, each producing artifacts at increasing levels of abstraction while maintaining provenance links back to the original sources. The system has been applied to music theory textbooks as an initial domain, producing a knowledge base of several hundred concept cards, dozens of synthesised guides, and a navigable knowledge graph—all served through a Model Context Protocol (MCP) server that provides structured access to the knowledge base during LLM interactions.</w:t>
      </w:r>
    </w:p>
    <w:p>
      <w:pPr>
        <w:spacing w:after="160" w:line="360"/>
        <w:ind w:firstLine="720"/>
        <w:jc w:val="both"/>
      </w:pPr>
      <w:r>
        <w:rPr>
          <w:rFonts w:ascii="Times New Roman" w:cs="Times New Roman" w:eastAsia="Times New Roman" w:hAnsi="Times New Roman"/>
          <w:sz w:val="24"/>
          <w:szCs w:val="24"/>
        </w:rPr>
        <w:t xml:space="preserve">We present this work with an awareness of its limitations. The pipeline has been tested on a narrow set of domains. The design decisions that produced good results may reflect properties specific to those domains, to the particular LLM used, or to the specific use cases explored. Our purpose in documenting the pipeline at this stage is not to claim generality but to make the approach visible and available for critique, replication, and extension by others working on similar problems.</w:t>
      </w:r>
    </w:p>
    <w:p>
      <w:pPr>
        <w:pStyle w:val="Heading1"/>
        <w:spacing w:before="360" w:after="120"/>
      </w:pPr>
      <w:r>
        <w:t xml:space="preserve">2. Pipeline Overview</w:t>
      </w:r>
    </w:p>
    <w:p>
      <w:pPr>
        <w:spacing w:after="160" w:line="360"/>
        <w:ind w:firstLine="720"/>
        <w:jc w:val="both"/>
      </w:pPr>
      <w:r>
        <w:rPr>
          <w:rFonts w:ascii="Times New Roman" w:cs="Times New Roman" w:eastAsia="Times New Roman" w:hAnsi="Times New Roman"/>
          <w:sz w:val="24"/>
          <w:szCs w:val="24"/>
        </w:rPr>
        <w:t xml:space="preserve">The pipeline consists of four principal stages, each performing a distinct transformation on the source material. Figure 1 presents the complete pipeline architecture. The stages are: (1) source acquisition and format conversion, (2) concept extraction and categorisation, (3) synthesis and structural elaboration, and (4) unified indexing for retrieval. Stages 3 and 4 operate in parallel, with the synthesis layer producing guides and best practice documents while the structural layer constructs a formal knowledge graph. Both layers feed into a unified full-text search index that provides a single retrieval surface across all levels of abstraction.</w:t>
      </w:r>
    </w:p>
    <w:p>
      <w:pPr>
        <w:spacing w:after="120"/>
      </w:pP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KNOWLEDGE CONSOLIDATION PIPELINE                ║</w:t>
      </w:r>
    </w:p>
    <w:p>
      <w:pPr>
        <w:spacing w:after="0" w:line="240"/>
      </w:pPr>
      <w:r>
        <w:rPr>
          <w:rFonts w:ascii="Courier New" w:cs="Courier New" w:eastAsia="Courier New" w:hAnsi="Courier New"/>
          <w:sz w:val="16"/>
          <w:szCs w:val="16"/>
        </w:rPr>
        <w:t xml:space="preserve">║                (as currently implemented)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Primary     │      │  Structured │      │  Concept Cards      │  ║</w:t>
      </w:r>
    </w:p>
    <w:p>
      <w:pPr>
        <w:spacing w:after="0" w:line="240"/>
      </w:pPr>
      <w:r>
        <w:rPr>
          <w:rFonts w:ascii="Courier New" w:cs="Courier New" w:eastAsia="Courier New" w:hAnsi="Courier New"/>
          <w:sz w:val="16"/>
          <w:szCs w:val="16"/>
        </w:rPr>
        <w:t xml:space="preserve">║  │  Sources     │────▶│  Markdown   │────▶│  (atomic units)     │  ║</w:t>
      </w:r>
    </w:p>
    <w:p>
      <w:pPr>
        <w:spacing w:after="0" w:line="240"/>
      </w:pPr>
      <w:r>
        <w:rPr>
          <w:rFonts w:ascii="Courier New" w:cs="Courier New" w:eastAsia="Courier New" w:hAnsi="Courier New"/>
          <w:sz w:val="16"/>
          <w:szCs w:val="16"/>
        </w:rPr>
        <w:t xml:space="preserve">║  │  (PDF/EPUB)  │  ①   │  Chapters   │  ②   │  w/ YAML frontmatter│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③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Guides  │  │Knowledge│  ║</w:t>
      </w:r>
    </w:p>
    <w:p>
      <w:pPr>
        <w:spacing w:after="0" w:line="240"/>
      </w:pPr>
      <w:r>
        <w:rPr>
          <w:rFonts w:ascii="Courier New" w:cs="Courier New" w:eastAsia="Courier New" w:hAnsi="Courier New"/>
          <w:sz w:val="16"/>
          <w:szCs w:val="16"/>
        </w:rPr>
        <w:t xml:space="preserve">║                                        │  &amp; Best  │  │  Graph  │  ║</w:t>
      </w:r>
    </w:p>
    <w:p>
      <w:pPr>
        <w:spacing w:after="0" w:line="240"/>
      </w:pPr>
      <w:r>
        <w:rPr>
          <w:rFonts w:ascii="Courier New" w:cs="Courier New" w:eastAsia="Courier New" w:hAnsi="Courier New"/>
          <w:sz w:val="16"/>
          <w:szCs w:val="16"/>
        </w:rPr>
        <w:t xml:space="preserve">║                                        │ Practices│  │  (DAG)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Full-Text   │       ║</w:t>
      </w:r>
    </w:p>
    <w:p>
      <w:pPr>
        <w:spacing w:after="0" w:line="240"/>
      </w:pPr>
      <w:r>
        <w:rPr>
          <w:rFonts w:ascii="Courier New" w:cs="Courier New" w:eastAsia="Courier New" w:hAnsi="Courier New"/>
          <w:sz w:val="16"/>
          <w:szCs w:val="16"/>
        </w:rPr>
        <w:t xml:space="preserve">║                                            │  Search Index│       ║</w:t>
      </w:r>
    </w:p>
    <w:p>
      <w:pPr>
        <w:spacing w:after="0" w:line="240"/>
      </w:pPr>
      <w:r>
        <w:rPr>
          <w:rFonts w:ascii="Courier New" w:cs="Courier New" w:eastAsia="Courier New" w:hAnsi="Courier New"/>
          <w:sz w:val="16"/>
          <w:szCs w:val="16"/>
        </w:rPr>
        <w:t xml:space="preserve">║                                            │  (all layers)│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① Conversion    ② Extraction/Analysis    ③ Synthesis/Structure ║</w:t>
      </w:r>
    </w:p>
    <w:p>
      <w:pPr>
        <w:spacing w:after="0" w:line="240"/>
      </w:pPr>
      <w:r>
        <w:rPr>
          <w:rFonts w:ascii="Courier New" w:cs="Courier New" w:eastAsia="Courier New" w:hAnsi="Courier New"/>
          <w:sz w:val="16"/>
          <w:szCs w:val="16"/>
        </w:rPr>
        <w:t xml:space="preserve">╚══════════════════════════════════════════════════════════════════╝</w:t>
      </w:r>
    </w:p>
    <w:p>
      <w:pPr>
        <w:spacing w:before="80" w:after="200"/>
        <w:jc w:val="center"/>
      </w:pPr>
      <w:r>
        <w:rPr>
          <w:rFonts w:ascii="Times New Roman" w:cs="Times New Roman" w:eastAsia="Times New Roman" w:hAnsi="Times New Roman"/>
          <w:i/>
          <w:iCs/>
          <w:sz w:val="20"/>
          <w:szCs w:val="20"/>
        </w:rPr>
        <w:t xml:space="preserve">Figure 1. The knowledge consolidation pipeline, showing the four principal stages and the flow of artifacts between them.</w:t>
      </w:r>
    </w:p>
    <w:p>
      <w:pPr>
        <w:pStyle w:val="Heading1"/>
        <w:spacing w:before="360" w:after="120"/>
      </w:pPr>
      <w:r>
        <w:t xml:space="preserve">3. Stage Descriptions</w:t>
      </w:r>
    </w:p>
    <w:p>
      <w:pPr>
        <w:pStyle w:val="Heading2"/>
        <w:spacing w:before="240" w:after="120"/>
      </w:pPr>
      <w:r>
        <w:t xml:space="preserve">3.1 Stage 1: Source Acquisition and Conversion</w:t>
      </w:r>
    </w:p>
    <w:p>
      <w:pPr>
        <w:spacing w:after="160" w:line="360"/>
        <w:ind w:firstLine="720"/>
        <w:jc w:val="both"/>
      </w:pPr>
      <w:r>
        <w:rPr>
          <w:rFonts w:ascii="Times New Roman" w:cs="Times New Roman" w:eastAsia="Times New Roman" w:hAnsi="Times New Roman"/>
          <w:sz w:val="24"/>
          <w:szCs w:val="24"/>
        </w:rPr>
        <w:t xml:space="preserve">The pipeline begins with primary source material in publication formats: PDF, EPUB, or LaTeX. These sources are converted to structured Markdown, with each logical division of the source—typically a chapter or major section—rendered as a separate file. Figure 2 illustrates the input-output relationship of this stage.</w:t>
      </w:r>
    </w:p>
    <w:p>
      <w:pPr>
        <w:spacing w:after="120"/>
      </w:pP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PRIMARY SOURCE   │         │ STRUCTURED MARKDOWN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PDF/EPUB/LaTeX │───────▶│ • One .md file per chapter   │</w:t>
      </w:r>
    </w:p>
    <w:p>
      <w:pPr>
        <w:spacing w:after="0" w:line="240"/>
      </w:pPr>
      <w:r>
        <w:rPr>
          <w:rFonts w:ascii="Courier New" w:cs="Courier New" w:eastAsia="Courier New" w:hAnsi="Courier New"/>
          <w:sz w:val="16"/>
          <w:szCs w:val="16"/>
        </w:rPr>
        <w:t xml:space="preserve">│ • Continuous doc │         │ • Metadata headers preserved │</w:t>
      </w:r>
    </w:p>
    <w:p>
      <w:pPr>
        <w:spacing w:after="0" w:line="240"/>
      </w:pPr>
      <w:r>
        <w:rPr>
          <w:rFonts w:ascii="Courier New" w:cs="Courier New" w:eastAsia="Courier New" w:hAnsi="Courier New"/>
          <w:sz w:val="16"/>
          <w:szCs w:val="16"/>
        </w:rPr>
        <w:t xml:space="preserve">│ • Page numbers   │         │ • PDF page refs embedded     │</w:t>
      </w:r>
    </w:p>
    <w:p>
      <w:pPr>
        <w:spacing w:after="0" w:line="240"/>
      </w:pPr>
      <w:r>
        <w:rPr>
          <w:rFonts w:ascii="Courier New" w:cs="Courier New" w:eastAsia="Courier New" w:hAnsi="Courier New"/>
          <w:sz w:val="16"/>
          <w:szCs w:val="16"/>
        </w:rPr>
        <w:t xml:space="preserve">│ • Figures/tables │         │ • Original structure intact  │</w:t>
      </w:r>
    </w:p>
    <w:p>
      <w:pPr>
        <w:spacing w:after="0" w:line="240"/>
      </w:pPr>
      <w:r>
        <w:rPr>
          <w:rFonts w:ascii="Courier New" w:cs="Courier New" w:eastAsia="Courier New" w:hAnsi="Courier New"/>
          <w:sz w:val="16"/>
          <w:szCs w:val="16"/>
        </w:rPr>
        <w:t xml:space="preserve">│ • Notation       │         │ • Clean, parseable text      │</w:t>
      </w:r>
    </w:p>
    <w:p>
      <w:pPr>
        <w:spacing w:after="0" w:line="240"/>
      </w:pPr>
      <w:r>
        <w:rPr>
          <w:rFonts w:ascii="Courier New" w:cs="Courier New" w:eastAsia="Courier New" w:hAnsi="Courier New"/>
          <w:sz w:val="16"/>
          <w:szCs w:val="16"/>
        </w:rPr>
        <w:t xml:space="preserve">└──────────────────┘         └──────────────────────────────┘</w:t>
      </w:r>
    </w:p>
    <w:p>
      <w:pPr>
        <w:spacing w:before="80" w:after="200"/>
        <w:jc w:val="center"/>
      </w:pPr>
      <w:r>
        <w:rPr>
          <w:rFonts w:ascii="Times New Roman" w:cs="Times New Roman" w:eastAsia="Times New Roman" w:hAnsi="Times New Roman"/>
          <w:i/>
          <w:iCs/>
          <w:sz w:val="20"/>
          <w:szCs w:val="20"/>
        </w:rPr>
        <w:t xml:space="preserve">Figure 2. Stage 1 transformation: primary source to structured Markdown.</w:t>
      </w:r>
    </w:p>
    <w:p>
      <w:pPr>
        <w:spacing w:after="160" w:line="360"/>
        <w:ind w:firstLine="720"/>
        <w:jc w:val="both"/>
      </w:pPr>
      <w:r>
        <w:rPr>
          <w:rFonts w:ascii="Times New Roman" w:cs="Times New Roman" w:eastAsia="Times New Roman" w:hAnsi="Times New Roman"/>
          <w:sz w:val="24"/>
          <w:szCs w:val="24"/>
        </w:rPr>
        <w:t xml:space="preserve">This conversion is not merely a format translation. It performs the first act of structuring by imposing a file-per-division organisation that creates natural units for subsequent parallel processing. Critically, metadata from the original source—including PDF page numbers and original line references—is preserved in embedded headers within each Markdown file, maintaining traceability to the physical source throughout all downstream transformations.</w:t>
      </w:r>
    </w:p>
    <w:p>
      <w:pPr>
        <w:spacing w:after="160" w:line="360"/>
        <w:ind w:firstLine="720"/>
        <w:jc w:val="both"/>
      </w:pPr>
      <w:r>
        <w:rPr>
          <w:rFonts w:ascii="Times New Roman" w:cs="Times New Roman" w:eastAsia="Times New Roman" w:hAnsi="Times New Roman"/>
          <w:sz w:val="24"/>
          <w:szCs w:val="24"/>
        </w:rPr>
        <w:t xml:space="preserve">The choice of Markdown as the intermediate representation reflects a pragmatic optimisation: Markdown is natively legible to both humans and language models, requires no special parsing infrastructure, and preserves enough structural information (headings, lists, emphasis, code blocks) to support downstream processing without imposing the overhead of a richer markup language.</w:t>
      </w:r>
    </w:p>
    <w:p>
      <w:pPr>
        <w:pStyle w:val="Heading2"/>
        <w:spacing w:before="240" w:after="120"/>
      </w:pPr>
      <w:r>
        <w:t xml:space="preserve">3.2 Stage 2: Concept Extraction and Categorisation</w:t>
      </w:r>
    </w:p>
    <w:p>
      <w:pPr>
        <w:spacing w:after="160" w:line="360"/>
        <w:ind w:firstLine="720"/>
        <w:jc w:val="both"/>
      </w:pPr>
      <w:r>
        <w:rPr>
          <w:rFonts w:ascii="Times New Roman" w:cs="Times New Roman" w:eastAsia="Times New Roman" w:hAnsi="Times New Roman"/>
          <w:sz w:val="24"/>
          <w:szCs w:val="24"/>
        </w:rPr>
        <w:t xml:space="preserve">The structured Markdown chapters are analysed to identify discrete, atomic concepts. Each concept is extracted into a standalone artifact—a concept card—with a dual structure: machine-readable metadata encoded as YAML frontmatter, and human-readable content organised into standardised Markdown sections. Figure 3 illustrates the one-to-many decomposition that characterises this stage.</w:t>
      </w:r>
    </w:p>
    <w:p>
      <w:pPr>
        <w:spacing w:after="120"/>
      </w:pP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CHAPTER MARKDOWN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"Chapter 5: Intervals"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[continuous prose discussing    │</w:t>
      </w:r>
    </w:p>
    <w:p>
      <w:pPr>
        <w:spacing w:after="0" w:line="240"/>
      </w:pPr>
      <w:r>
        <w:rPr>
          <w:rFonts w:ascii="Courier New" w:cs="Courier New" w:eastAsia="Courier New" w:hAnsi="Courier New"/>
          <w:sz w:val="16"/>
          <w:szCs w:val="16"/>
        </w:rPr>
        <w:t xml:space="preserve">│  multiple concepts in context,  │</w:t>
      </w:r>
    </w:p>
    <w:p>
      <w:pPr>
        <w:spacing w:after="0" w:line="240"/>
      </w:pPr>
      <w:r>
        <w:rPr>
          <w:rFonts w:ascii="Courier New" w:cs="Courier New" w:eastAsia="Courier New" w:hAnsi="Courier New"/>
          <w:sz w:val="16"/>
          <w:szCs w:val="16"/>
        </w:rPr>
        <w:t xml:space="preserve">│  with examples, cross-refs,     │</w:t>
      </w:r>
    </w:p>
    <w:p>
      <w:pPr>
        <w:spacing w:after="0" w:line="240"/>
      </w:pPr>
      <w:r>
        <w:rPr>
          <w:rFonts w:ascii="Courier New" w:cs="Courier New" w:eastAsia="Courier New" w:hAnsi="Courier New"/>
          <w:sz w:val="16"/>
          <w:szCs w:val="16"/>
        </w:rPr>
        <w:t xml:space="preserve">│  progressive exposition...]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DECOMPOSITION</w:t>
      </w:r>
    </w:p>
    <w:p>
      <w:pPr>
        <w:spacing w:after="0" w:line="240"/>
      </w:pPr>
      <w:r>
        <w:rPr>
          <w:rFonts w:ascii="Courier New" w:cs="Courier New" w:eastAsia="Courier New" w:hAnsi="Courier New"/>
          <w:sz w:val="16"/>
          <w:szCs w:val="16"/>
        </w:rPr>
        <w:t xml:space="preserve">                │  (one-to-many)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│interval││perfect ││tritone │ │compound│</w:t>
      </w:r>
    </w:p>
    <w:p>
      <w:pPr>
        <w:spacing w:after="0" w:line="240"/>
      </w:pPr>
      <w:r>
        <w:rPr>
          <w:rFonts w:ascii="Courier New" w:cs="Courier New" w:eastAsia="Courier New" w:hAnsi="Courier New"/>
          <w:sz w:val="16"/>
          <w:szCs w:val="16"/>
        </w:rPr>
        <w:t xml:space="preserve">  │.md     ││fifth   ││.md     │ │interval│</w:t>
      </w:r>
    </w:p>
    <w:p>
      <w:pPr>
        <w:spacing w:after="0" w:line="240"/>
      </w:pPr>
      <w:r>
        <w:rPr>
          <w:rFonts w:ascii="Courier New" w:cs="Courier New" w:eastAsia="Courier New" w:hAnsi="Courier New"/>
          <w:sz w:val="16"/>
          <w:szCs w:val="16"/>
        </w:rPr>
        <w:t xml:space="preserve">  │        ││.md     ││        │ │.md     │</w:t>
      </w:r>
    </w:p>
    <w:p>
      <w:pPr>
        <w:spacing w:after="0" w:line="240"/>
      </w:pPr>
      <w:r>
        <w:rPr>
          <w:rFonts w:ascii="Courier New" w:cs="Courier New" w:eastAsia="Courier New" w:hAnsi="Courier New"/>
          <w:sz w:val="16"/>
          <w:szCs w:val="16"/>
        </w:rPr>
        <w:t xml:space="preserve">  └────────┘└────────┘└────────┘ └────────┘</w:t>
      </w:r>
    </w:p>
    <w:p>
      <w:pPr>
        <w:spacing w:before="80" w:after="200"/>
        <w:jc w:val="center"/>
      </w:pPr>
      <w:r>
        <w:rPr>
          <w:rFonts w:ascii="Times New Roman" w:cs="Times New Roman" w:eastAsia="Times New Roman" w:hAnsi="Times New Roman"/>
          <w:i/>
          <w:iCs/>
          <w:sz w:val="20"/>
          <w:szCs w:val="20"/>
        </w:rPr>
        <w:t xml:space="preserve">Figure 3. Decomposition of a source chapter into atomic concept cards.</w:t>
      </w:r>
    </w:p>
    <w:p>
      <w:pPr>
        <w:spacing w:after="160" w:line="360"/>
        <w:ind w:firstLine="720"/>
        <w:jc w:val="both"/>
      </w:pPr>
      <w:r>
        <w:rPr>
          <w:rFonts w:ascii="Times New Roman" w:cs="Times New Roman" w:eastAsia="Times New Roman" w:hAnsi="Times New Roman"/>
          <w:sz w:val="24"/>
          <w:szCs w:val="24"/>
        </w:rPr>
        <w:t xml:space="preserve">The internal structure of each concept card is designed to serve multiple purposes simultaneously. Figure 4 presents the card anatomy. The YAML frontmatter constitutes a relational schema: the category field places the concept within a taxonomy, the source and chapter fields maintain provenance chains, and the chapter_number and pdf_page fields enable cross-referencing with the physical source. The Markdown content sections provide graded definitions (from accessible to formal), constructive or recognitional procedures, contextual information, source-specific examples, explicit cross-references to related concepts, and documentation of common misconceptions.</w:t>
      </w:r>
    </w:p>
    <w:p>
      <w:pPr>
        <w:spacing w:after="120"/>
      </w:pP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CONCEPT CARD STRUCTURE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YAML FRONTMATTER ──────────────┐  │</w:t>
      </w:r>
    </w:p>
    <w:p>
      <w:pPr>
        <w:spacing w:after="0" w:line="240"/>
      </w:pPr>
      <w:r>
        <w:rPr>
          <w:rFonts w:ascii="Courier New" w:cs="Courier New" w:eastAsia="Courier New" w:hAnsi="Courier New"/>
          <w:sz w:val="16"/>
          <w:szCs w:val="16"/>
        </w:rPr>
        <w:t xml:space="preserve">│  │ concept: name                    │  │</w:t>
      </w:r>
    </w:p>
    <w:p>
      <w:pPr>
        <w:spacing w:after="0" w:line="240"/>
      </w:pPr>
      <w:r>
        <w:rPr>
          <w:rFonts w:ascii="Courier New" w:cs="Courier New" w:eastAsia="Courier New" w:hAnsi="Courier New"/>
          <w:sz w:val="16"/>
          <w:szCs w:val="16"/>
        </w:rPr>
        <w:t xml:space="preserve">│  │ category: taxonomy placement     │  │</w:t>
      </w:r>
    </w:p>
    <w:p>
      <w:pPr>
        <w:spacing w:after="0" w:line="240"/>
      </w:pPr>
      <w:r>
        <w:rPr>
          <w:rFonts w:ascii="Courier New" w:cs="Courier New" w:eastAsia="Courier New" w:hAnsi="Courier New"/>
          <w:sz w:val="16"/>
          <w:szCs w:val="16"/>
        </w:rPr>
        <w:t xml:space="preserve">│  │ source: provenance               │  │</w:t>
      </w:r>
    </w:p>
    <w:p>
      <w:pPr>
        <w:spacing w:after="0" w:line="240"/>
      </w:pPr>
      <w:r>
        <w:rPr>
          <w:rFonts w:ascii="Courier New" w:cs="Courier New" w:eastAsia="Courier New" w:hAnsi="Courier New"/>
          <w:sz w:val="16"/>
          <w:szCs w:val="16"/>
        </w:rPr>
        <w:t xml:space="preserve">│  │ chapter + chapter_number         │  │</w:t>
      </w:r>
    </w:p>
    <w:p>
      <w:pPr>
        <w:spacing w:after="0" w:line="240"/>
      </w:pPr>
      <w:r>
        <w:rPr>
          <w:rFonts w:ascii="Courier New" w:cs="Courier New" w:eastAsia="Courier New" w:hAnsi="Courier New"/>
          <w:sz w:val="16"/>
          <w:szCs w:val="16"/>
        </w:rPr>
        <w:t xml:space="preserve">│  │ pdf_page: physical ref           │  │</w:t>
      </w:r>
    </w:p>
    <w:p>
      <w:pPr>
        <w:spacing w:after="0" w:line="240"/>
      </w:pPr>
      <w:r>
        <w:rPr>
          <w:rFonts w:ascii="Courier New" w:cs="Courier New" w:eastAsia="Courier New" w:hAnsi="Courier New"/>
          <w:sz w:val="16"/>
          <w:szCs w:val="16"/>
        </w:rPr>
        <w:t xml:space="preserve">│  │ authors: attribution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Machine-readable / Queryable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MARKDOWN CONTENT ──────────────┐  │</w:t>
      </w:r>
    </w:p>
    <w:p>
      <w:pPr>
        <w:spacing w:after="0" w:line="240"/>
      </w:pPr>
      <w:r>
        <w:rPr>
          <w:rFonts w:ascii="Courier New" w:cs="Courier New" w:eastAsia="Courier New" w:hAnsi="Courier New"/>
          <w:sz w:val="16"/>
          <w:szCs w:val="16"/>
        </w:rPr>
        <w:t xml:space="preserve">│  │ Quick Definition (accessible)    │  │</w:t>
      </w:r>
    </w:p>
    <w:p>
      <w:pPr>
        <w:spacing w:after="0" w:line="240"/>
      </w:pPr>
      <w:r>
        <w:rPr>
          <w:rFonts w:ascii="Courier New" w:cs="Courier New" w:eastAsia="Courier New" w:hAnsi="Courier New"/>
          <w:sz w:val="16"/>
          <w:szCs w:val="16"/>
        </w:rPr>
        <w:t xml:space="preserve">│  │ Formal Definition (precise)      │  │</w:t>
      </w:r>
    </w:p>
    <w:p>
      <w:pPr>
        <w:spacing w:after="0" w:line="240"/>
      </w:pPr>
      <w:r>
        <w:rPr>
          <w:rFonts w:ascii="Courier New" w:cs="Courier New" w:eastAsia="Courier New" w:hAnsi="Courier New"/>
          <w:sz w:val="16"/>
          <w:szCs w:val="16"/>
        </w:rPr>
        <w:t xml:space="preserve">│  │ Construction/Recognition         │  │</w:t>
      </w:r>
    </w:p>
    <w:p>
      <w:pPr>
        <w:spacing w:after="0" w:line="240"/>
      </w:pPr>
      <w:r>
        <w:rPr>
          <w:rFonts w:ascii="Courier New" w:cs="Courier New" w:eastAsia="Courier New" w:hAnsi="Courier New"/>
          <w:sz w:val="16"/>
          <w:szCs w:val="16"/>
        </w:rPr>
        <w:t xml:space="preserve">│  │ Context/Application              │  │</w:t>
      </w:r>
    </w:p>
    <w:p>
      <w:pPr>
        <w:spacing w:after="0" w:line="240"/>
      </w:pPr>
      <w:r>
        <w:rPr>
          <w:rFonts w:ascii="Courier New" w:cs="Courier New" w:eastAsia="Courier New" w:hAnsi="Courier New"/>
          <w:sz w:val="16"/>
          <w:szCs w:val="16"/>
        </w:rPr>
        <w:t xml:space="preserve">│  │ Examples (from source)           │  │</w:t>
      </w:r>
    </w:p>
    <w:p>
      <w:pPr>
        <w:spacing w:after="0" w:line="240"/>
      </w:pPr>
      <w:r>
        <w:rPr>
          <w:rFonts w:ascii="Courier New" w:cs="Courier New" w:eastAsia="Courier New" w:hAnsi="Courier New"/>
          <w:sz w:val="16"/>
          <w:szCs w:val="16"/>
        </w:rPr>
        <w:t xml:space="preserve">│  │ Related Concepts (links)         │  │</w:t>
      </w:r>
    </w:p>
    <w:p>
      <w:pPr>
        <w:spacing w:after="0" w:line="240"/>
      </w:pPr>
      <w:r>
        <w:rPr>
          <w:rFonts w:ascii="Courier New" w:cs="Courier New" w:eastAsia="Courier New" w:hAnsi="Courier New"/>
          <w:sz w:val="16"/>
          <w:szCs w:val="16"/>
        </w:rPr>
        <w:t xml:space="preserve">│  │ Common Confusions                │  │</w:t>
      </w:r>
    </w:p>
    <w:p>
      <w:pPr>
        <w:spacing w:after="0" w:line="240"/>
      </w:pPr>
      <w:r>
        <w:rPr>
          <w:rFonts w:ascii="Courier New" w:cs="Courier New" w:eastAsia="Courier New" w:hAnsi="Courier New"/>
          <w:sz w:val="16"/>
          <w:szCs w:val="16"/>
        </w:rPr>
        <w:t xml:space="preserve">│  │ Source Reference (provenance)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Human-readable / Searchable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before="80" w:after="200"/>
        <w:jc w:val="center"/>
      </w:pPr>
      <w:r>
        <w:rPr>
          <w:rFonts w:ascii="Times New Roman" w:cs="Times New Roman" w:eastAsia="Times New Roman" w:hAnsi="Times New Roman"/>
          <w:i/>
          <w:iCs/>
          <w:sz w:val="20"/>
          <w:szCs w:val="20"/>
        </w:rPr>
        <w:t xml:space="preserve">Figure 4. Anatomy of a concept card, showing the dual machine-readable and human-readable structure.</w:t>
      </w:r>
    </w:p>
    <w:p>
      <w:pPr>
        <w:spacing w:after="160" w:line="360"/>
        <w:ind w:firstLine="720"/>
        <w:jc w:val="both"/>
      </w:pPr>
      <w:r>
        <w:rPr>
          <w:rFonts w:ascii="Times New Roman" w:cs="Times New Roman" w:eastAsia="Times New Roman" w:hAnsi="Times New Roman"/>
          <w:sz w:val="24"/>
          <w:szCs w:val="24"/>
        </w:rPr>
        <w:t xml:space="preserve">An important observation about this structure is that the “Related Concepts” section within the Markdown content body encodes informal graph edges—relationships between concepts that are expressed in natural language but can subsequently be formalised into typed edges in the knowledge graph. The concept card thus functions simultaneously as a standalone reference document and as a node pre-wired for integration into a network structure.</w:t>
      </w:r>
    </w:p>
    <w:p>
      <w:pPr>
        <w:pStyle w:val="Heading2"/>
        <w:spacing w:before="240" w:after="120"/>
      </w:pPr>
      <w:r>
        <w:t xml:space="preserve">3.3 Stage 3a: Guide and Best Practice Synthesis</w:t>
      </w:r>
    </w:p>
    <w:p>
      <w:pPr>
        <w:spacing w:after="160" w:line="360"/>
        <w:ind w:firstLine="720"/>
        <w:jc w:val="both"/>
      </w:pPr>
      <w:r>
        <w:rPr>
          <w:rFonts w:ascii="Times New Roman" w:cs="Times New Roman" w:eastAsia="Times New Roman" w:hAnsi="Times New Roman"/>
          <w:sz w:val="24"/>
          <w:szCs w:val="24"/>
        </w:rPr>
        <w:t xml:space="preserve">The concept cards produced in Stage 2 represent declarative knowledge—facts about individual concepts. Stage 3a transforms this declarative knowledge into procedural and heuristic knowledge by composing concept cards into synthesised guides. These guides do not merely catalogue concepts; they describe how concepts combine in practice, identify common workflows, articulate decision heuristics, and document idiomatic usage patterns. Figure 5 illustrates this many-to-many composition.</w:t>
      </w:r>
    </w:p>
    <w:p>
      <w:pPr>
        <w:spacing w:after="120"/>
      </w:pP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SYNTHESIS LAYER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CONCEPT CARDS              GUIDES / BEST PRACTICES      │</w:t>
      </w:r>
    </w:p>
    <w:p>
      <w:pPr>
        <w:spacing w:after="0" w:line="240"/>
      </w:pPr>
      <w:r>
        <w:rPr>
          <w:rFonts w:ascii="Courier New" w:cs="Courier New" w:eastAsia="Courier New" w:hAnsi="Courier New"/>
          <w:sz w:val="16"/>
          <w:szCs w:val="16"/>
        </w:rPr>
        <w:t xml:space="preserve">│  (atoms)                    (compositions)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interval │──┐            │ "Guide: Building      │    │</w:t>
      </w:r>
    </w:p>
    <w:p>
      <w:pPr>
        <w:spacing w:after="0" w:line="240"/>
      </w:pPr>
      <w:r>
        <w:rPr>
          <w:rFonts w:ascii="Courier New" w:cs="Courier New" w:eastAsia="Courier New" w:hAnsi="Courier New"/>
          <w:sz w:val="16"/>
          <w:szCs w:val="16"/>
        </w:rPr>
        <w:t xml:space="preserve">│  └──────────┘  │            │  Chord Progressions"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 triad    │──┤  COMPOSE   │  Uses: interval,      │    │</w:t>
      </w:r>
    </w:p>
    <w:p>
      <w:pPr>
        <w:spacing w:after="0" w:line="240"/>
      </w:pPr>
      <w:r>
        <w:rPr>
          <w:rFonts w:ascii="Courier New" w:cs="Courier New" w:eastAsia="Courier New" w:hAnsi="Courier New"/>
          <w:sz w:val="16"/>
          <w:szCs w:val="16"/>
        </w:rPr>
        <w:t xml:space="preserve">│  └──────────┘  │            │  triad, voice-leading,│    │</w:t>
      </w:r>
    </w:p>
    <w:p>
      <w:pPr>
        <w:spacing w:after="0" w:line="240"/>
      </w:pPr>
      <w:r>
        <w:rPr>
          <w:rFonts w:ascii="Courier New" w:cs="Courier New" w:eastAsia="Courier New" w:hAnsi="Courier New"/>
          <w:sz w:val="16"/>
          <w:szCs w:val="16"/>
        </w:rPr>
        <w:t xml:space="preserve">│  ┌──────────┐  │            │  harmonic-function    │    │</w:t>
      </w:r>
    </w:p>
    <w:p>
      <w:pPr>
        <w:spacing w:after="0" w:line="240"/>
      </w:pPr>
      <w:r>
        <w:rPr>
          <w:rFonts w:ascii="Courier New" w:cs="Courier New" w:eastAsia="Courier New" w:hAnsi="Courier New"/>
          <w:sz w:val="16"/>
          <w:szCs w:val="16"/>
        </w:rPr>
        <w:t xml:space="preserve">│  │ voice-   │──┘            │                       │    │</w:t>
      </w:r>
    </w:p>
    <w:p>
      <w:pPr>
        <w:spacing w:after="0" w:line="240"/>
      </w:pPr>
      <w:r>
        <w:rPr>
          <w:rFonts w:ascii="Courier New" w:cs="Courier New" w:eastAsia="Courier New" w:hAnsi="Courier New"/>
          <w:sz w:val="16"/>
          <w:szCs w:val="16"/>
        </w:rPr>
        <w:t xml:space="preserve">│  │ leading  │               │  Adds: sequencing,    │    │</w:t>
      </w:r>
    </w:p>
    <w:p>
      <w:pPr>
        <w:spacing w:after="0" w:line="240"/>
      </w:pPr>
      <w:r>
        <w:rPr>
          <w:rFonts w:ascii="Courier New" w:cs="Courier New" w:eastAsia="Courier New" w:hAnsi="Courier New"/>
          <w:sz w:val="16"/>
          <w:szCs w:val="16"/>
        </w:rPr>
        <w:t xml:space="preserve">│  └──────────┘               │  decision heuristics, │    │</w:t>
      </w:r>
    </w:p>
    <w:p>
      <w:pPr>
        <w:spacing w:after="0" w:line="240"/>
      </w:pPr>
      <w:r>
        <w:rPr>
          <w:rFonts w:ascii="Courier New" w:cs="Courier New" w:eastAsia="Courier New" w:hAnsi="Courier New"/>
          <w:sz w:val="16"/>
          <w:szCs w:val="16"/>
        </w:rPr>
        <w:t xml:space="preserve">│  ┌──────────┐               │  common patterns,     │    │</w:t>
      </w:r>
    </w:p>
    <w:p>
      <w:pPr>
        <w:spacing w:after="0" w:line="240"/>
      </w:pPr>
      <w:r>
        <w:rPr>
          <w:rFonts w:ascii="Courier New" w:cs="Courier New" w:eastAsia="Courier New" w:hAnsi="Courier New"/>
          <w:sz w:val="16"/>
          <w:szCs w:val="16"/>
        </w:rPr>
        <w:t xml:space="preserve">│  │ harmonic │────────────▶│  idiomatic usage      │    │</w:t>
      </w:r>
    </w:p>
    <w:p>
      <w:pPr>
        <w:spacing w:after="0" w:line="240"/>
      </w:pPr>
      <w:r>
        <w:rPr>
          <w:rFonts w:ascii="Courier New" w:cs="Courier New" w:eastAsia="Courier New" w:hAnsi="Courier New"/>
          <w:sz w:val="16"/>
          <w:szCs w:val="16"/>
        </w:rPr>
        <w:t xml:space="preserve">│  │ function │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Many-to-many: concepts appear in multiple guides;       │</w:t>
      </w:r>
    </w:p>
    <w:p>
      <w:pPr>
        <w:spacing w:after="0" w:line="240"/>
      </w:pPr>
      <w:r>
        <w:rPr>
          <w:rFonts w:ascii="Courier New" w:cs="Courier New" w:eastAsia="Courier New" w:hAnsi="Courier New"/>
          <w:sz w:val="16"/>
          <w:szCs w:val="16"/>
        </w:rPr>
        <w:t xml:space="preserve">│  guides reference multiple concepts                       │</w:t>
      </w:r>
    </w:p>
    <w:p>
      <w:pPr>
        <w:spacing w:after="0" w:line="240"/>
      </w:pPr>
      <w:r>
        <w:rPr>
          <w:rFonts w:ascii="Courier New" w:cs="Courier New" w:eastAsia="Courier New" w:hAnsi="Courier New"/>
          <w:sz w:val="16"/>
          <w:szCs w:val="16"/>
        </w:rPr>
        <w:t xml:space="preserve">└───────────────────────────────────────────────────────────┘</w:t>
      </w:r>
    </w:p>
    <w:p>
      <w:pPr>
        <w:spacing w:before="80" w:after="200"/>
        <w:jc w:val="center"/>
      </w:pPr>
      <w:r>
        <w:rPr>
          <w:rFonts w:ascii="Times New Roman" w:cs="Times New Roman" w:eastAsia="Times New Roman" w:hAnsi="Times New Roman"/>
          <w:i/>
          <w:iCs/>
          <w:sz w:val="20"/>
          <w:szCs w:val="20"/>
        </w:rPr>
        <w:t xml:space="preserve">Figure 5. The synthesis layer: composing atomic concept cards into practical guides.</w:t>
      </w:r>
    </w:p>
    <w:p>
      <w:pPr>
        <w:spacing w:after="160" w:line="360"/>
        <w:ind w:firstLine="720"/>
        <w:jc w:val="both"/>
      </w:pPr>
      <w:r>
        <w:rPr>
          <w:rFonts w:ascii="Times New Roman" w:cs="Times New Roman" w:eastAsia="Times New Roman" w:hAnsi="Times New Roman"/>
          <w:sz w:val="24"/>
          <w:szCs w:val="24"/>
        </w:rPr>
        <w:t xml:space="preserve">The distinction between concept cards and guides maps approximately onto the declarative–procedural knowledge distinction that has been extensively studied in cognitive science and knowledge engineering. Concept cards answer “what is X?”; guides answer “how do I use X, Y, and Z together to accomplish a goal?” This layering is significant because it mirrors the way domain expertise is typically structured: practitioners need both rapid lookup of individual facts and integrated understanding of how those facts compose into practice.</w:t>
      </w:r>
    </w:p>
    <w:p>
      <w:pPr>
        <w:pStyle w:val="Heading2"/>
        <w:spacing w:before="240" w:after="120"/>
      </w:pPr>
      <w:r>
        <w:t xml:space="preserve">3.4 Stage 3b: Knowledge Graph Construction</w:t>
      </w:r>
    </w:p>
    <w:p>
      <w:pPr>
        <w:spacing w:after="160" w:line="360"/>
        <w:ind w:firstLine="720"/>
        <w:jc w:val="both"/>
      </w:pPr>
      <w:r>
        <w:rPr>
          <w:rFonts w:ascii="Times New Roman" w:cs="Times New Roman" w:eastAsia="Times New Roman" w:hAnsi="Times New Roman"/>
          <w:sz w:val="24"/>
          <w:szCs w:val="24"/>
        </w:rPr>
        <w:t xml:space="preserve">In parallel with guide synthesis, the relationships between concepts—encoded informally in the “Related Concepts” sections and formally in the YAML metadata—are extracted and materialised into an explicit graph data structure. This is not a metaphorical graph or a loose network of associations; it is a directed graph with typed edges, supporting standard graph-theoretic algorithms. Figure 6 illustrates a representative subgraph.</w:t>
      </w:r>
    </w:p>
    <w:p>
      <w:pPr>
        <w:spacing w:after="120"/>
      </w:pP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KNOWLEDGE GRAPH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NODES = Concepts     EDGES = Typed Relationships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prerequisite_of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 secondary│               │</w:t>
      </w:r>
    </w:p>
    <w:p>
      <w:pPr>
        <w:spacing w:after="0" w:line="240"/>
      </w:pPr>
      <w:r>
        <w:rPr>
          <w:rFonts w:ascii="Courier New" w:cs="Courier New" w:eastAsia="Courier New" w:hAnsi="Courier New"/>
          <w:sz w:val="16"/>
          <w:szCs w:val="16"/>
        </w:rPr>
        <w:t xml:space="preserve">│   │  ┌──────────┐  related   │ dominant │               │</w:t>
      </w:r>
    </w:p>
    <w:p>
      <w:pPr>
        <w:spacing w:after="0" w:line="240"/>
      </w:pPr>
      <w:r>
        <w:rPr>
          <w:rFonts w:ascii="Courier New" w:cs="Courier New" w:eastAsia="Courier New" w:hAnsi="Courier New"/>
          <w:sz w:val="16"/>
          <w:szCs w:val="16"/>
        </w:rPr>
        <w:t xml:space="preserve">│   │  │ major    │────────▶│          │               │</w:t>
      </w:r>
    </w:p>
    <w:p>
      <w:pPr>
        <w:spacing w:after="0" w:line="240"/>
      </w:pPr>
      <w:r>
        <w:rPr>
          <w:rFonts w:ascii="Courier New" w:cs="Courier New" w:eastAsia="Courier New" w:hAnsi="Courier New"/>
          <w:sz w:val="16"/>
          <w:szCs w:val="16"/>
        </w:rPr>
        <w:t xml:space="preserve">│   │  │ scale    │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 prerequisite_of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  extends   ┌──────────┐               │</w:t>
      </w:r>
    </w:p>
    <w:p>
      <w:pPr>
        <w:spacing w:after="0" w:line="240"/>
      </w:pPr>
      <w:r>
        <w:rPr>
          <w:rFonts w:ascii="Courier New" w:cs="Courier New" w:eastAsia="Courier New" w:hAnsi="Courier New"/>
          <w:sz w:val="16"/>
          <w:szCs w:val="16"/>
        </w:rPr>
        <w:t xml:space="preserve">│   │  │ key      │────────▶│ modula-  │               │</w:t>
      </w:r>
    </w:p>
    <w:p>
      <w:pPr>
        <w:spacing w:after="0" w:line="240"/>
      </w:pPr>
      <w:r>
        <w:rPr>
          <w:rFonts w:ascii="Courier New" w:cs="Courier New" w:eastAsia="Courier New" w:hAnsi="Courier New"/>
          <w:sz w:val="16"/>
          <w:szCs w:val="16"/>
        </w:rPr>
        <w:t xml:space="preserve">│   │  │ signature│           │ tion     │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ALGORITHMS SUPPORTED:                                    │</w:t>
      </w:r>
    </w:p>
    <w:p>
      <w:pPr>
        <w:spacing w:after="0" w:line="240"/>
      </w:pPr>
      <w:r>
        <w:rPr>
          <w:rFonts w:ascii="Courier New" w:cs="Courier New" w:eastAsia="Courier New" w:hAnsi="Courier New"/>
          <w:sz w:val="16"/>
          <w:szCs w:val="16"/>
        </w:rPr>
        <w:t xml:space="preserve">│  • Prerequisite chains (topological sort)                 │</w:t>
      </w:r>
    </w:p>
    <w:p>
      <w:pPr>
        <w:spacing w:after="0" w:line="240"/>
      </w:pPr>
      <w:r>
        <w:rPr>
          <w:rFonts w:ascii="Courier New" w:cs="Courier New" w:eastAsia="Courier New" w:hAnsi="Courier New"/>
          <w:sz w:val="16"/>
          <w:szCs w:val="16"/>
        </w:rPr>
        <w:t xml:space="preserve">│  • Centrality analysis (hub concepts)                     │</w:t>
      </w:r>
    </w:p>
    <w:p>
      <w:pPr>
        <w:spacing w:after="0" w:line="240"/>
      </w:pPr>
      <w:r>
        <w:rPr>
          <w:rFonts w:ascii="Courier New" w:cs="Courier New" w:eastAsia="Courier New" w:hAnsi="Courier New"/>
          <w:sz w:val="16"/>
          <w:szCs w:val="16"/>
        </w:rPr>
        <w:t xml:space="preserve">│  • Shortest path (concept-to-concept)                     │</w:t>
      </w:r>
    </w:p>
    <w:p>
      <w:pPr>
        <w:spacing w:after="0" w:line="240"/>
      </w:pPr>
      <w:r>
        <w:rPr>
          <w:rFonts w:ascii="Courier New" w:cs="Courier New" w:eastAsia="Courier New" w:hAnsi="Courier New"/>
          <w:sz w:val="16"/>
          <w:szCs w:val="16"/>
        </w:rPr>
        <w:t xml:space="preserve">│  • Neighborhood exploration (local subgraph)              │</w:t>
      </w:r>
    </w:p>
    <w:p>
      <w:pPr>
        <w:spacing w:after="0" w:line="240"/>
      </w:pPr>
      <w:r>
        <w:rPr>
          <w:rFonts w:ascii="Courier New" w:cs="Courier New" w:eastAsia="Courier New" w:hAnsi="Courier New"/>
          <w:sz w:val="16"/>
          <w:szCs w:val="16"/>
        </w:rPr>
        <w:t xml:space="preserve">│  • Dependency analysis (what builds on what)              │</w:t>
      </w:r>
    </w:p>
    <w:p>
      <w:pPr>
        <w:spacing w:after="0" w:line="240"/>
      </w:pPr>
      <w:r>
        <w:rPr>
          <w:rFonts w:ascii="Courier New" w:cs="Courier New" w:eastAsia="Courier New" w:hAnsi="Courier New"/>
          <w:sz w:val="16"/>
          <w:szCs w:val="16"/>
        </w:rPr>
        <w:t xml:space="preserve">│  • Bridge concept detection (cross-category links)        │</w:t>
      </w:r>
    </w:p>
    <w:p>
      <w:pPr>
        <w:spacing w:after="0" w:line="240"/>
      </w:pPr>
      <w:r>
        <w:rPr>
          <w:rFonts w:ascii="Courier New" w:cs="Courier New" w:eastAsia="Courier New" w:hAnsi="Courier New"/>
          <w:sz w:val="16"/>
          <w:szCs w:val="16"/>
        </w:rPr>
        <w:t xml:space="preserve">└───────────────────────────────────────────────────────────┘</w:t>
      </w:r>
    </w:p>
    <w:p>
      <w:pPr>
        <w:spacing w:before="80" w:after="200"/>
        <w:jc w:val="center"/>
      </w:pPr>
      <w:r>
        <w:rPr>
          <w:rFonts w:ascii="Times New Roman" w:cs="Times New Roman" w:eastAsia="Times New Roman" w:hAnsi="Times New Roman"/>
          <w:i/>
          <w:iCs/>
          <w:sz w:val="20"/>
          <w:szCs w:val="20"/>
        </w:rPr>
        <w:t xml:space="preserve">Figure 6. A representative subgraph from the knowledge graph, showing typed relationships and the algorithms they support.</w:t>
      </w:r>
    </w:p>
    <w:p>
      <w:pPr>
        <w:spacing w:after="160" w:line="360"/>
        <w:ind w:firstLine="720"/>
        <w:jc w:val="both"/>
      </w:pPr>
      <w:r>
        <w:rPr>
          <w:rFonts w:ascii="Times New Roman" w:cs="Times New Roman" w:eastAsia="Times New Roman" w:hAnsi="Times New Roman"/>
          <w:sz w:val="24"/>
          <w:szCs w:val="24"/>
        </w:rPr>
        <w:t xml:space="preserve">The graph supports several classes of queries that would be difficult or impossible to answer from concept cards alone. Prerequisite chains (computed via topological sort) reveal the learning order for a given concept. Centrality analysis identifies hub concepts—those with disproportionately many connections—which often correspond to foundational ideas in the domain. Shortest-path computation between concepts can reveal non-obvious connections. Neighbourhood exploration provides local context around any concept. Bridge concept detection identifies concepts that span multiple categories, often representing points where distinct subdomains intersect.</w:t>
      </w:r>
    </w:p>
    <w:p>
      <w:pPr>
        <w:pStyle w:val="Heading2"/>
        <w:spacing w:before="240" w:after="120"/>
      </w:pPr>
      <w:r>
        <w:t xml:space="preserve">3.5 Stage 4: Full-Text Search Indexing</w:t>
      </w:r>
    </w:p>
    <w:p>
      <w:pPr>
        <w:spacing w:after="160" w:line="360"/>
        <w:ind w:firstLine="720"/>
        <w:jc w:val="both"/>
      </w:pPr>
      <w:r>
        <w:rPr>
          <w:rFonts w:ascii="Times New Roman" w:cs="Times New Roman" w:eastAsia="Times New Roman" w:hAnsi="Times New Roman"/>
          <w:sz w:val="24"/>
          <w:szCs w:val="24"/>
        </w:rPr>
        <w:t xml:space="preserve">The final stage indexes all artifacts from every preceding layer—source chapters, concept cards, unified (cross-source) concepts, and guides—into a single full-text search index with relevance ranking. Figure 7 illustrates the indexed content types.</w:t>
      </w:r>
    </w:p>
    <w:p>
      <w:pPr>
        <w:spacing w:after="120"/>
      </w:pP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SEARCH INDEX                            │</w:t>
      </w:r>
    </w:p>
    <w:p>
      <w:pPr>
        <w:spacing w:after="0" w:line="240"/>
      </w:pPr>
      <w:r>
        <w:rPr>
          <w:rFonts w:ascii="Courier New" w:cs="Courier New" w:eastAsia="Courier New" w:hAnsi="Courier New"/>
          <w:sz w:val="16"/>
          <w:szCs w:val="16"/>
        </w:rPr>
        <w:t xml:space="preserve">│              (unified retrieval layer)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Indexed Content Types:                          │   │</w:t>
      </w:r>
    </w:p>
    <w:p>
      <w:pPr>
        <w:spacing w:after="0" w:line="240"/>
      </w:pPr>
      <w:r>
        <w:rPr>
          <w:rFonts w:ascii="Courier New" w:cs="Courier New" w:eastAsia="Courier New" w:hAnsi="Courier New"/>
          <w:sz w:val="16"/>
          <w:szCs w:val="16"/>
        </w:rPr>
        <w:t xml:space="preserve">│  │                                                   │   │</w:t>
      </w:r>
    </w:p>
    <w:p>
      <w:pPr>
        <w:spacing w:after="0" w:line="240"/>
      </w:pPr>
      <w:r>
        <w:rPr>
          <w:rFonts w:ascii="Courier New" w:cs="Courier New" w:eastAsia="Courier New" w:hAnsi="Courier New"/>
          <w:sz w:val="16"/>
          <w:szCs w:val="16"/>
        </w:rPr>
        <w:t xml:space="preserve">│  │   source_chapter   Raw source material            │   │</w:t>
      </w:r>
    </w:p>
    <w:p>
      <w:pPr>
        <w:spacing w:after="0" w:line="240"/>
      </w:pPr>
      <w:r>
        <w:rPr>
          <w:rFonts w:ascii="Courier New" w:cs="Courier New" w:eastAsia="Courier New" w:hAnsi="Courier New"/>
          <w:sz w:val="16"/>
          <w:szCs w:val="16"/>
        </w:rPr>
        <w:t xml:space="preserve">│  │                    (original exposition)           │   │</w:t>
      </w:r>
    </w:p>
    <w:p>
      <w:pPr>
        <w:spacing w:after="0" w:line="240"/>
      </w:pPr>
      <w:r>
        <w:rPr>
          <w:rFonts w:ascii="Courier New" w:cs="Courier New" w:eastAsia="Courier New" w:hAnsi="Courier New"/>
          <w:sz w:val="16"/>
          <w:szCs w:val="16"/>
        </w:rPr>
        <w:t xml:space="preserve">│  │   concept_card     Extracted atomic concepts       │   │</w:t>
      </w:r>
    </w:p>
    <w:p>
      <w:pPr>
        <w:spacing w:after="0" w:line="240"/>
      </w:pPr>
      <w:r>
        <w:rPr>
          <w:rFonts w:ascii="Courier New" w:cs="Courier New" w:eastAsia="Courier New" w:hAnsi="Courier New"/>
          <w:sz w:val="16"/>
          <w:szCs w:val="16"/>
        </w:rPr>
        <w:t xml:space="preserve">│  │                    (structured knowledge)          │   │</w:t>
      </w:r>
    </w:p>
    <w:p>
      <w:pPr>
        <w:spacing w:after="0" w:line="240"/>
      </w:pPr>
      <w:r>
        <w:rPr>
          <w:rFonts w:ascii="Courier New" w:cs="Courier New" w:eastAsia="Courier New" w:hAnsi="Courier New"/>
          <w:sz w:val="16"/>
          <w:szCs w:val="16"/>
        </w:rPr>
        <w:t xml:space="preserve">│  │   unified_concept  Canonical merged concepts       │   │</w:t>
      </w:r>
    </w:p>
    <w:p>
      <w:pPr>
        <w:spacing w:after="0" w:line="240"/>
      </w:pPr>
      <w:r>
        <w:rPr>
          <w:rFonts w:ascii="Courier New" w:cs="Courier New" w:eastAsia="Courier New" w:hAnsi="Courier New"/>
          <w:sz w:val="16"/>
          <w:szCs w:val="16"/>
        </w:rPr>
        <w:t xml:space="preserve">│  │                    (cross-source synthesis)        │   │</w:t>
      </w:r>
    </w:p>
    <w:p>
      <w:pPr>
        <w:spacing w:after="0" w:line="240"/>
      </w:pPr>
      <w:r>
        <w:rPr>
          <w:rFonts w:ascii="Courier New" w:cs="Courier New" w:eastAsia="Courier New" w:hAnsi="Courier New"/>
          <w:sz w:val="16"/>
          <w:szCs w:val="16"/>
        </w:rPr>
        <w:t xml:space="preserve">│  │   guide            Practical compositions          │   │</w:t>
      </w:r>
    </w:p>
    <w:p>
      <w:pPr>
        <w:spacing w:after="0" w:line="240"/>
      </w:pPr>
      <w:r>
        <w:rPr>
          <w:rFonts w:ascii="Courier New" w:cs="Courier New" w:eastAsia="Courier New" w:hAnsi="Courier New"/>
          <w:sz w:val="16"/>
          <w:szCs w:val="16"/>
        </w:rPr>
        <w:t xml:space="preserve">│  │                    (procedural knowledge)          │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 single query surfaces results across ALL layers        │</w:t>
      </w:r>
    </w:p>
    <w:p>
      <w:pPr>
        <w:spacing w:after="0" w:line="240"/>
      </w:pPr>
      <w:r>
        <w:rPr>
          <w:rFonts w:ascii="Courier New" w:cs="Courier New" w:eastAsia="Courier New" w:hAnsi="Courier New"/>
          <w:sz w:val="16"/>
          <w:szCs w:val="16"/>
        </w:rPr>
        <w:t xml:space="preserve">│  simultaneously, from raw source to synthesized guide.    │</w:t>
      </w:r>
    </w:p>
    <w:p>
      <w:pPr>
        <w:spacing w:after="0" w:line="240"/>
      </w:pPr>
      <w:r>
        <w:rPr>
          <w:rFonts w:ascii="Courier New" w:cs="Courier New" w:eastAsia="Courier New" w:hAnsi="Courier New"/>
          <w:sz w:val="16"/>
          <w:szCs w:val="16"/>
        </w:rPr>
        <w:t xml:space="preserve">└─────────────────────────────────────────────────────────┘</w:t>
      </w:r>
    </w:p>
    <w:p>
      <w:pPr>
        <w:spacing w:before="80" w:after="200"/>
        <w:jc w:val="center"/>
      </w:pPr>
      <w:r>
        <w:rPr>
          <w:rFonts w:ascii="Times New Roman" w:cs="Times New Roman" w:eastAsia="Times New Roman" w:hAnsi="Times New Roman"/>
          <w:i/>
          <w:iCs/>
          <w:sz w:val="20"/>
          <w:szCs w:val="20"/>
        </w:rPr>
        <w:t xml:space="preserve">Figure 7. The unified search index, providing a single retrieval surface across all abstraction levels.</w:t>
      </w:r>
    </w:p>
    <w:p>
      <w:pPr>
        <w:spacing w:after="160" w:line="360"/>
        <w:ind w:firstLine="720"/>
        <w:jc w:val="both"/>
      </w:pPr>
      <w:r>
        <w:rPr>
          <w:rFonts w:ascii="Times New Roman" w:cs="Times New Roman" w:eastAsia="Times New Roman" w:hAnsi="Times New Roman"/>
          <w:sz w:val="24"/>
          <w:szCs w:val="24"/>
        </w:rPr>
        <w:t xml:space="preserve">This unified indexing is significant because it allows a single query to surface results at multiple levels of abstraction simultaneously. A query for a technical term might return the original source exposition (Level 0), the extracted concept card (Level 1), a cross-source unified concept (Level 2), and a practical guide that uses the concept (Level 3). This multi-level retrieval supports different information needs within a single interaction: quick lookup, deep understanding, cross-referencing, and practical application.</w:t>
      </w:r>
    </w:p>
    <w:p>
      <w:pPr>
        <w:pStyle w:val="Heading1"/>
        <w:spacing w:before="360" w:after="120"/>
      </w:pPr>
      <w:r>
        <w:t xml:space="preserve">4. Structural Observations</w:t>
      </w:r>
    </w:p>
    <w:p>
      <w:pPr>
        <w:pStyle w:val="Heading2"/>
        <w:spacing w:before="240" w:after="120"/>
      </w:pPr>
      <w:r>
        <w:t xml:space="preserve">4.1 Abstraction with Provenance</w:t>
      </w:r>
    </w:p>
    <w:p>
      <w:pPr>
        <w:spacing w:after="160" w:line="360"/>
        <w:ind w:firstLine="720"/>
        <w:jc w:val="both"/>
      </w:pPr>
      <w:r>
        <w:rPr>
          <w:rFonts w:ascii="Times New Roman" w:cs="Times New Roman" w:eastAsia="Times New Roman" w:hAnsi="Times New Roman"/>
          <w:sz w:val="24"/>
          <w:szCs w:val="24"/>
        </w:rPr>
        <w:t xml:space="preserve">A structural property of the pipeline that warrants explicit identification is the relationship between abstraction levels. Figure 8 presents the five levels of abstraction produced by the pipeline.</w:t>
      </w:r>
    </w:p>
    <w:p>
      <w:pPr>
        <w:spacing w:after="120"/>
      </w:pP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ABSTRACTION LEVELS IN THE PIPELINE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CONCRETE                                                  │</w:t>
      </w:r>
    </w:p>
    <w:p>
      <w:pPr>
        <w:spacing w:after="0" w:line="240"/>
      </w:pPr>
      <w:r>
        <w:rPr>
          <w:rFonts w:ascii="Courier New" w:cs="Courier New" w:eastAsia="Courier New" w:hAnsi="Courier New"/>
          <w:sz w:val="16"/>
          <w:szCs w:val="16"/>
        </w:rPr>
        <w:t xml:space="preserve">│  (source-faithful)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Source Chapters (verbatim)          Level 0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Concept Cards (extracted)           Level 1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Unified Concepts (merged)           Level 2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Guides &amp; Best Practices             Level 3     │</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   Graph Structure (relational)         Level 4     │</w:t>
      </w:r>
    </w:p>
    <w:p>
      <w:pPr>
        <w:spacing w:after="0" w:line="240"/>
      </w:pPr>
      <w:r>
        <w:rPr>
          <w:rFonts w:ascii="Courier New" w:cs="Courier New" w:eastAsia="Courier New" w:hAnsi="Courier New"/>
          <w:sz w:val="16"/>
          <w:szCs w:val="16"/>
        </w:rPr>
        <w:t xml:space="preserve">│  ABSTRACT                                                  │</w:t>
      </w:r>
    </w:p>
    <w:p>
      <w:pPr>
        <w:spacing w:after="0" w:line="240"/>
      </w:pPr>
      <w:r>
        <w:rPr>
          <w:rFonts w:ascii="Courier New" w:cs="Courier New" w:eastAsia="Courier New" w:hAnsi="Courier New"/>
          <w:sz w:val="16"/>
          <w:szCs w:val="16"/>
        </w:rPr>
        <w:t xml:space="preserve">│  (synthesized)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KEY: Every higher level maintains provenance links        │</w:t>
      </w:r>
    </w:p>
    <w:p>
      <w:pPr>
        <w:spacing w:after="0" w:line="240"/>
      </w:pPr>
      <w:r>
        <w:rPr>
          <w:rFonts w:ascii="Courier New" w:cs="Courier New" w:eastAsia="Courier New" w:hAnsi="Courier New"/>
          <w:sz w:val="16"/>
          <w:szCs w:val="16"/>
        </w:rPr>
        <w:t xml:space="preserve">│  back to the levels below it. Nothing is orphaned.         │</w:t>
      </w:r>
    </w:p>
    <w:p>
      <w:pPr>
        <w:spacing w:after="0" w:line="240"/>
      </w:pPr>
      <w:r>
        <w:rPr>
          <w:rFonts w:ascii="Courier New" w:cs="Courier New" w:eastAsia="Courier New" w:hAnsi="Courier New"/>
          <w:sz w:val="16"/>
          <w:szCs w:val="16"/>
        </w:rPr>
        <w:t xml:space="preserve">└──────────────────────────────────────────────────────────┘</w:t>
      </w:r>
    </w:p>
    <w:p>
      <w:pPr>
        <w:spacing w:before="80" w:after="200"/>
        <w:jc w:val="center"/>
      </w:pPr>
      <w:r>
        <w:rPr>
          <w:rFonts w:ascii="Times New Roman" w:cs="Times New Roman" w:eastAsia="Times New Roman" w:hAnsi="Times New Roman"/>
          <w:i/>
          <w:iCs/>
          <w:sz w:val="20"/>
          <w:szCs w:val="20"/>
        </w:rPr>
        <w:t xml:space="preserve">Figure 8. The five levels of abstraction in the pipeline, from concrete source material to abstract relational structure.</w:t>
      </w:r>
    </w:p>
    <w:p>
      <w:pPr>
        <w:spacing w:after="160" w:line="360"/>
        <w:ind w:firstLine="720"/>
        <w:jc w:val="both"/>
      </w:pPr>
      <w:r>
        <w:rPr>
          <w:rFonts w:ascii="Times New Roman" w:cs="Times New Roman" w:eastAsia="Times New Roman" w:hAnsi="Times New Roman"/>
          <w:sz w:val="24"/>
          <w:szCs w:val="24"/>
        </w:rPr>
        <w:t xml:space="preserve">The pipeline moves from concrete to abstract through progressive transformation, but critically, it never severs the provenance chain. A guide references the concept cards it composes. Each concept card references the source chapter and page from which it was extracted. The source chapter references the physical page in the original publication. At every level, it is possible to trace an assertion or a relationship back to its origin in the primary source material. This property—which we term </w:t>
      </w:r>
      <w:r>
        <w:rPr>
          <w:rFonts w:ascii="Times New Roman" w:cs="Times New Roman" w:eastAsia="Times New Roman" w:hAnsi="Times New Roman"/>
          <w:b/>
          <w:bCs/>
          <w:sz w:val="24"/>
          <w:szCs w:val="24"/>
        </w:rPr>
        <w:t xml:space="preserve">provenance-preserving abstraction</w:t>
      </w:r>
      <w:r>
        <w:rPr>
          <w:rFonts w:ascii="Times New Roman" w:cs="Times New Roman" w:eastAsia="Times New Roman" w:hAnsi="Times New Roman"/>
          <w:sz w:val="24"/>
          <w:szCs w:val="24"/>
        </w:rPr>
        <w:t xml:space="preserve">—was not designed as a theoretical commitment. It emerged from the practical requirement that the LLM be able to verify and ground its responses by reference to authoritative sources. Nevertheless, it aligns with established principles in knowledge provenance and data lineage research.</w:t>
      </w:r>
    </w:p>
    <w:p>
      <w:pPr>
        <w:pStyle w:val="Heading2"/>
        <w:spacing w:before="240" w:after="120"/>
      </w:pPr>
      <w:r>
        <w:t xml:space="preserve">4.2 Dual Representation</w:t>
      </w:r>
    </w:p>
    <w:p>
      <w:pPr>
        <w:spacing w:after="160" w:line="360"/>
        <w:ind w:firstLine="720"/>
        <w:jc w:val="both"/>
      </w:pPr>
      <w:r>
        <w:rPr>
          <w:rFonts w:ascii="Times New Roman" w:cs="Times New Roman" w:eastAsia="Times New Roman" w:hAnsi="Times New Roman"/>
          <w:sz w:val="24"/>
          <w:szCs w:val="24"/>
        </w:rPr>
        <w:t xml:space="preserve">Each concept card encodes the same knowledge in two complementary formats: a machine-readable YAML schema and a human-readable Markdown exposition. This dual representation serves distinct functions. The YAML frontmatter supports programmatic operations: filtering, sorting, taxonomy navigation, and graph construction. The Markdown content supports retrieval, presentation, and natural-language reasoning. Neither representation is redundant; they address different access patterns and are consumed by different downstream processes.</w:t>
      </w:r>
    </w:p>
    <w:p>
      <w:pPr>
        <w:spacing w:after="160" w:line="360"/>
        <w:ind w:firstLine="720"/>
        <w:jc w:val="both"/>
      </w:pPr>
      <w:r>
        <w:rPr>
          <w:rFonts w:ascii="Times New Roman" w:cs="Times New Roman" w:eastAsia="Times New Roman" w:hAnsi="Times New Roman"/>
          <w:sz w:val="24"/>
          <w:szCs w:val="24"/>
        </w:rPr>
        <w:t xml:space="preserve">This duality was, again, a pragmatic decision rather than a principled one. Early iterations of the system used either pure structured data (which was precise but difficult for the LLM to present conversationally) or pure prose (which was readable but difficult to query systematically). The hybrid format emerged as a compromise that served both needs. We note, however, that this compromise has parallels in knowledge representation research, where the tension between formal and informal representations has been a persistent theme.</w:t>
      </w:r>
    </w:p>
    <w:p>
      <w:pPr>
        <w:pStyle w:val="Heading2"/>
        <w:spacing w:before="240" w:after="120"/>
      </w:pPr>
      <w:r>
        <w:t xml:space="preserve">4.3 Declarative–Procedural Layering</w:t>
      </w:r>
    </w:p>
    <w:p>
      <w:pPr>
        <w:spacing w:after="160" w:line="360"/>
        <w:ind w:firstLine="720"/>
        <w:jc w:val="both"/>
      </w:pPr>
      <w:r>
        <w:rPr>
          <w:rFonts w:ascii="Times New Roman" w:cs="Times New Roman" w:eastAsia="Times New Roman" w:hAnsi="Times New Roman"/>
          <w:sz w:val="24"/>
          <w:szCs w:val="24"/>
        </w:rPr>
        <w:t xml:space="preserve">The separation between concept cards (declarative) and guides (procedural) reflects a distinction that is well-established in both cognitive science and knowledge engineering. Concept cards capture </w:t>
      </w:r>
      <w:r>
        <w:rPr>
          <w:rFonts w:ascii="Times New Roman" w:cs="Times New Roman" w:eastAsia="Times New Roman" w:hAnsi="Times New Roman"/>
          <w:b/>
          <w:bCs/>
          <w:sz w:val="24"/>
          <w:szCs w:val="24"/>
        </w:rPr>
        <w:t xml:space="preserve">knowing-that</w:t>
      </w:r>
      <w:r>
        <w:rPr>
          <w:rFonts w:ascii="Times New Roman" w:cs="Times New Roman" w:eastAsia="Times New Roman" w:hAnsi="Times New Roman"/>
          <w:sz w:val="24"/>
          <w:szCs w:val="24"/>
        </w:rPr>
        <w:t xml:space="preserve">: the facts, definitions, properties, and relationships of individual concepts. Guides capture </w:t>
      </w:r>
      <w:r>
        <w:rPr>
          <w:rFonts w:ascii="Times New Roman" w:cs="Times New Roman" w:eastAsia="Times New Roman" w:hAnsi="Times New Roman"/>
          <w:b/>
          <w:bCs/>
          <w:sz w:val="24"/>
          <w:szCs w:val="24"/>
        </w:rPr>
        <w:t xml:space="preserve">knowing-how</w:t>
      </w:r>
      <w:r>
        <w:rPr>
          <w:rFonts w:ascii="Times New Roman" w:cs="Times New Roman" w:eastAsia="Times New Roman" w:hAnsi="Times New Roman"/>
          <w:sz w:val="24"/>
          <w:szCs w:val="24"/>
        </w:rPr>
        <w:t xml:space="preserve">: the workflows, heuristics, patterns, and decision procedures by which concepts are applied in practice. This layering was not initially planned; it arose because the concept cards alone, while excellent for lookup, did not adequately support task-oriented queries such as “how do I harmonise a melody?” or “what is the standard approach to modulation?” The addition of the guide layer addressed this gap.</w:t>
      </w:r>
    </w:p>
    <w:p>
      <w:pPr>
        <w:pStyle w:val="Heading2"/>
        <w:spacing w:before="240" w:after="120"/>
      </w:pPr>
      <w:r>
        <w:t xml:space="preserve">4.4 Graph as First-Class Structure</w:t>
      </w:r>
    </w:p>
    <w:p>
      <w:pPr>
        <w:spacing w:after="160" w:line="360"/>
        <w:ind w:firstLine="720"/>
        <w:jc w:val="both"/>
      </w:pPr>
      <w:r>
        <w:rPr>
          <w:rFonts w:ascii="Times New Roman" w:cs="Times New Roman" w:eastAsia="Times New Roman" w:hAnsi="Times New Roman"/>
          <w:sz w:val="24"/>
          <w:szCs w:val="24"/>
        </w:rPr>
        <w:t xml:space="preserve">The decision to materialise concept relationships as a literal graph data structure—rather than relying on embedding-based similarity or purely textual cross-references—has significant implications. A materialised graph supports algorithmic reasoning: topological sorting for prerequisite ordering, centrality computation for identifying foundational concepts, shortest-path calculation for finding connections between distant concepts, and bridge detection for cross-domain integration. These operations would be difficult to perform reliably on embedding-based or purely textual representations. The graph also provides a form of structural validation: orphaned concepts (those with no edges) and cycles in prerequisite chains (which would indicate logical inconsistencies) can be detected automatically.</w:t>
      </w:r>
    </w:p>
    <w:p>
      <w:pPr>
        <w:pStyle w:val="Heading1"/>
        <w:spacing w:before="360" w:after="120"/>
      </w:pPr>
      <w:r>
        <w:t xml:space="preserve">5. Limitations and Future Work</w:t>
      </w:r>
    </w:p>
    <w:p>
      <w:pPr>
        <w:spacing w:after="160" w:line="360"/>
        <w:ind w:firstLine="720"/>
        <w:jc w:val="both"/>
      </w:pPr>
      <w:r>
        <w:rPr>
          <w:rFonts w:ascii="Times New Roman" w:cs="Times New Roman" w:eastAsia="Times New Roman" w:hAnsi="Times New Roman"/>
          <w:sz w:val="24"/>
          <w:szCs w:val="24"/>
        </w:rPr>
        <w:t xml:space="preserve">This report describes a working system, not a validated methodology. Several significant limitations should be noted.</w:t>
      </w:r>
    </w:p>
    <w:p>
      <w:pPr>
        <w:spacing w:after="16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Domain breadth.</w:t>
      </w:r>
      <w:r>
        <w:rPr>
          <w:rFonts w:ascii="Times New Roman" w:cs="Times New Roman" w:eastAsia="Times New Roman" w:hAnsi="Times New Roman"/>
          <w:sz w:val="24"/>
          <w:szCs w:val="24"/>
        </w:rPr>
        <w:t xml:space="preserve"> The pipeline has been applied primarily to music theory textbooks. While the architecture is designed to be domain-agnostic—with customisable card templates and category taxonomies—its effectiveness in substantially different domains (e.g., experimental sciences, legal texts, software documentation) has not been systematically evaluated.</w:t>
      </w:r>
    </w:p>
    <w:p>
      <w:pPr>
        <w:spacing w:after="16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Evaluation methodology.</w:t>
      </w:r>
      <w:r>
        <w:rPr>
          <w:rFonts w:ascii="Times New Roman" w:cs="Times New Roman" w:eastAsia="Times New Roman" w:hAnsi="Times New Roman"/>
          <w:sz w:val="24"/>
          <w:szCs w:val="24"/>
        </w:rPr>
        <w:t xml:space="preserve"> Quality assessment of the extracted knowledge has relied on expert review of sampled concept cards and functional testing of the retrieval system. No formal evaluation against established knowledge engineering benchmarks has been conducted.</w:t>
      </w:r>
    </w:p>
    <w:p>
      <w:pPr>
        <w:spacing w:after="16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LLM dependency.</w:t>
      </w:r>
      <w:r>
        <w:rPr>
          <w:rFonts w:ascii="Times New Roman" w:cs="Times New Roman" w:eastAsia="Times New Roman" w:hAnsi="Times New Roman"/>
          <w:sz w:val="24"/>
          <w:szCs w:val="24"/>
        </w:rPr>
        <w:t xml:space="preserve"> Both the extraction process and the downstream consumption of the knowledge base are mediated by large language models. The design decisions that produced good results may be entangled with properties of specific models (particularly their strengths and limitations in processing structured text). The degree to which this pipeline reflects general principles of knowledge organisation versus LLM-specific optimisations remains an open question.</w:t>
      </w:r>
    </w:p>
    <w:p>
      <w:pPr>
        <w:spacing w:after="16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Feedback loops.</w:t>
      </w:r>
      <w:r>
        <w:rPr>
          <w:rFonts w:ascii="Times New Roman" w:cs="Times New Roman" w:eastAsia="Times New Roman" w:hAnsi="Times New Roman"/>
          <w:sz w:val="24"/>
          <w:szCs w:val="24"/>
        </w:rPr>
        <w:t xml:space="preserve"> The current pipeline is largely unidirectional. Although the graph construction stage occasionally reveals gaps in concept extraction (e.g., orphaned nodes that suggest missing prerequisite cards), there is no formalised feedback mechanism by which later stages systematically inform earlier ones. Establishing such feedback loops is a priority for future development.</w:t>
      </w:r>
    </w:p>
    <w:p>
      <w:pPr>
        <w:spacing w:after="160" w:line="360"/>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Comparison with existing frameworks.</w:t>
      </w:r>
      <w:r>
        <w:rPr>
          <w:rFonts w:ascii="Times New Roman" w:cs="Times New Roman" w:eastAsia="Times New Roman" w:hAnsi="Times New Roman"/>
          <w:sz w:val="24"/>
          <w:szCs w:val="24"/>
        </w:rPr>
        <w:t xml:space="preserve"> This work has not yet been systematically compared with established approaches in ontology engineering (e.g., Methontology, NeOn), knowledge graph construction (e.g., knowledge graph embedding methods), or curriculum sequencing (e.g., prerequisite structure learning). Such comparison is a natural and necessary next step.</w:t>
      </w:r>
    </w:p>
    <w:p>
      <w:pPr>
        <w:spacing w:after="160" w:line="360"/>
        <w:ind w:firstLine="720"/>
        <w:jc w:val="both"/>
      </w:pPr>
      <w:r>
        <w:rPr>
          <w:rFonts w:ascii="Times New Roman" w:cs="Times New Roman" w:eastAsia="Times New Roman" w:hAnsi="Times New Roman"/>
          <w:sz w:val="24"/>
          <w:szCs w:val="24"/>
        </w:rPr>
        <w:t xml:space="preserve">We view the pipeline described here as a first approximation—a pragmatically-derived starting point that has demonstrated utility in its initial application. The immediate priorities for further work include: extending the pipeline to additional domains, developing formal evaluation criteria, investigating feedback mechanisms between pipeline stages, and situating the approach within the existing literature on knowledge representation and transformation. We offer this report as an invitation to that broader investigation.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Working Paper — Draft for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2026-02-04T04:22:48.863Z</dcterms:created>
  <dcterms:modified xsi:type="dcterms:W3CDTF">2026-02-04T04:22:48.864Z</dcterms:modified>
</cp:coreProperties>
</file>

<file path=docProps/custom.xml><?xml version="1.0" encoding="utf-8"?>
<Properties xmlns="http://schemas.openxmlformats.org/officeDocument/2006/custom-properties" xmlns:vt="http://schemas.openxmlformats.org/officeDocument/2006/docPropsVTypes"/>
</file>