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00a5734e34a1eb32f315a134588b1b24012ab4"/>
    <w:p>
      <w:pPr>
        <w:pStyle w:val="Heading1"/>
      </w:pPr>
      <w:r>
        <w:t xml:space="preserve">Аналитическая модель кредитного скоринга — концепция команды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«Умный кредитный кабинет предпринимателя» / Альфа-Хак 2026</w:t>
      </w:r>
      <w:r>
        <w:br/>
      </w:r>
      <w:r>
        <w:rPr>
          <w:b/>
          <w:bCs/>
        </w:rPr>
        <w:t xml:space="preserve">Передаваемая модель:</w:t>
      </w:r>
      <w:r>
        <w:t xml:space="preserve"> </w:t>
      </w:r>
      <w:r>
        <w:t xml:space="preserve">экспертный скоринг малого и микробизнеса;</w:t>
      </w:r>
      <w:r>
        <w:t xml:space="preserve"> </w:t>
      </w:r>
      <w:r>
        <w:rPr>
          <w:rStyle w:val="VerbatimChar"/>
        </w:rPr>
        <w:t xml:space="preserve">MODEL_VERSION = 1.2.0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рабочий хакатонный прототип; веса и банковские правила</w:t>
      </w:r>
      <w:r>
        <w:t xml:space="preserve"> </w:t>
      </w:r>
      <w:r>
        <w:rPr>
          <w:b/>
          <w:bCs/>
        </w:rPr>
        <w:t xml:space="preserve">не утверждены Альфа-Банком</w:t>
      </w:r>
      <w:r>
        <w:t xml:space="preserve">.</w:t>
      </w:r>
    </w:p>
    <w:bookmarkStart w:id="20" w:name="X192c2884baadf9a6a9aa18bdb277e53aa62db25"/>
    <w:p>
      <w:pPr>
        <w:pStyle w:val="Heading2"/>
      </w:pPr>
      <w:r>
        <w:t xml:space="preserve">1. Что мы придумали</w:t>
      </w:r>
    </w:p>
    <w:p>
      <w:pPr>
        <w:pStyle w:val="FirstParagraph"/>
      </w:pPr>
      <w:r>
        <w:t xml:space="preserve">Кредитная заявка предпринимателя оценивается</w:t>
      </w:r>
      <w:r>
        <w:t xml:space="preserve"> </w:t>
      </w:r>
      <w:r>
        <w:rPr>
          <w:b/>
          <w:bCs/>
        </w:rPr>
        <w:t xml:space="preserve">по шести измеримым характеристикам бизнеса</w:t>
      </w:r>
      <w:r>
        <w:t xml:space="preserve">. Каждой характеристике начисляется фиксированное количество баллов; всего можно получить</w:t>
      </w:r>
      <w:r>
        <w:t xml:space="preserve"> </w:t>
      </w:r>
      <w:r>
        <w:rPr>
          <w:b/>
          <w:bCs/>
        </w:rPr>
        <w:t xml:space="preserve">100</w:t>
      </w:r>
      <w:r>
        <w:t xml:space="preserve">. Чем выше итог, тем ниже</w:t>
      </w:r>
      <w:r>
        <w:t xml:space="preserve"> </w:t>
      </w:r>
      <w:r>
        <w:rPr>
          <w:b/>
          <w:bCs/>
        </w:rPr>
        <w:t xml:space="preserve">условный риск по экспертной шкале</w:t>
      </w:r>
      <w:r>
        <w:t xml:space="preserve">. Результат сопровождается финансовыми коэффициентами и объяснением факторов, уменьшивших оценку.</w:t>
      </w:r>
    </w:p>
    <w:p>
      <w:pPr>
        <w:pStyle w:val="BodyText"/>
      </w:pPr>
      <w:r>
        <w:t xml:space="preserve">Модель используется дважды:</w:t>
      </w:r>
      <w:r>
        <w:t xml:space="preserve"> </w:t>
      </w:r>
      <w:r>
        <w:rPr>
          <w:b/>
          <w:bCs/>
        </w:rPr>
        <w:t xml:space="preserve">до проверки документов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после подтверждения/уточнения финансовых данных</w:t>
      </w:r>
      <w:r>
        <w:t xml:space="preserve">. При изменении сведений пересчитываются коэффициенты и баллы.</w:t>
      </w:r>
      <w:r>
        <w:t xml:space="preserve"> </w:t>
      </w:r>
      <w:r>
        <w:rPr>
          <w:b/>
          <w:bCs/>
        </w:rPr>
        <w:t xml:space="preserve">Скоринг сам кредит не одобряет:</w:t>
      </w:r>
      <w:r>
        <w:t xml:space="preserve"> </w:t>
      </w:r>
      <w:r>
        <w:t xml:space="preserve">решение формирует backend по отдельным проверкам регистрации, документов, доступности продукта и антифрода.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обученная ML-модель</w:t>
      </w:r>
      <w:r>
        <w:t xml:space="preserve">. У нас нет реальных исторических кредитов с метками дефолта; поэтому нельзя утверждать, что 80 баллов соответствуют конкретной вероятности возврата, а также приводить ROC-AUC или точность прогнозирования.</w:t>
      </w:r>
    </w:p>
    <w:bookmarkEnd w:id="20"/>
    <w:bookmarkStart w:id="21" w:name="X783278879d1f88562daded82e5a79046b2d74aa"/>
    <w:p>
      <w:pPr>
        <w:pStyle w:val="Heading2"/>
      </w:pPr>
      <w:r>
        <w:t xml:space="preserve">2. Почему выбраны именно эти признаки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Признак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Экономический смысл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 xml:space="preserve">Вес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DSCR proxy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Хватит ли приблизительного операционного денежного потока на текущие и планируемые кредитные платежи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30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Кредитная история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Насколько дисциплинированно ранее обслуживались обязательства по данным синтетического БКИ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Debt/Equity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Насколько велика сумма долга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с учётом запрашиваемого кредита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относительно собственного капитала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Текущая ликвидность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Хватает ли оборотных активов на краткосрочные обязательства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Стабильность выручки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Насколько колеблются поступления за последние шесть полных месяцев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Срок деятельности бизнеса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Насколько продолжительна наблюдаемая история работы предприятия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Итого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</w:pP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 xml:space="preserve">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 анализа признаков:</w:t>
      </w:r>
      <w:r>
        <w:t xml:space="preserve"> </w:t>
      </w:r>
      <w:r>
        <w:t xml:space="preserve">наибольший приоритет отдали обслуживанию долга (30 баллов), затем платёжной дисциплине (20); признаки капитала, ликвидности и стабильности выручки рассматриваются как взаимодополняющие (по 15). Срок работы — вспомогательный фактор с низким весом.</w:t>
      </w:r>
      <w:r>
        <w:t xml:space="preserve"> </w:t>
      </w:r>
      <w:r>
        <w:rPr>
          <w:b/>
          <w:bCs/>
        </w:rPr>
        <w:t xml:space="preserve">Эти веса — экспертное проектное решение</w:t>
      </w:r>
      <w:r>
        <w:t xml:space="preserve">, а не эмпирически оценённая важность признаков.</w:t>
      </w:r>
    </w:p>
    <w:p>
      <w:pPr>
        <w:pStyle w:val="BodyText"/>
      </w:pPr>
      <w:r>
        <w:t xml:space="preserve">Мы</w:t>
      </w:r>
      <w:r>
        <w:t xml:space="preserve"> </w:t>
      </w:r>
      <w:r>
        <w:rPr>
          <w:b/>
          <w:bCs/>
        </w:rPr>
        <w:t xml:space="preserve">не используем</w:t>
      </w:r>
      <w:r>
        <w:t xml:space="preserve"> </w:t>
      </w:r>
      <w:r>
        <w:t xml:space="preserve">в начислении баллов возраст физического лица, личный ПДН, личные доходы, прожиточный минимум и регион. Территориальная доступность продукта и статус регистрации при необходимости проверяются отдельно в backend. Возраст бизнеса в месяцах —</w:t>
      </w:r>
      <w:r>
        <w:t xml:space="preserve"> </w:t>
      </w:r>
      <w:r>
        <w:rPr>
          <w:b/>
          <w:bCs/>
        </w:rPr>
        <w:t xml:space="preserve">не возраст предпринимателя</w:t>
      </w:r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ИП и ООО</w:t>
      </w:r>
      <w:r>
        <w:t xml:space="preserve"> </w:t>
      </w:r>
      <w:r>
        <w:t xml:space="preserve">логика расчёта одинаковая только при наличии сопоставимых, обоснованно определённых показателей. В частности, для ИП требует отдельного согласования метод определения</w:t>
      </w:r>
      <w:r>
        <w:t xml:space="preserve"> </w:t>
      </w:r>
      <w:r>
        <w:rPr>
          <w:rStyle w:val="VerbatimChar"/>
        </w:rPr>
        <w:t xml:space="preserve">equity_rub</w:t>
      </w:r>
      <w:r>
        <w:t xml:space="preserve">; скоринг не подменяет баланс ООО личным имуществом владельца.</w:t>
      </w:r>
    </w:p>
    <w:bookmarkEnd w:id="21"/>
    <w:bookmarkStart w:id="22" w:name="Xdbbd707bba0850323015807503074b843d57a48"/>
    <w:p>
      <w:pPr>
        <w:pStyle w:val="Heading2"/>
      </w:pPr>
      <w:r>
        <w:t xml:space="preserve">3. Формулы и балльные пороги</w:t>
      </w:r>
    </w:p>
    <w:p>
      <w:pPr>
        <w:pStyle w:val="FirstParagraph"/>
      </w:pPr>
      <w:r>
        <w:rPr>
          <w:b/>
          <w:bCs/>
        </w:rPr>
        <w:t xml:space="preserve">Плановый аннуитетный платёж</w:t>
      </w:r>
      <w:r>
        <w:t xml:space="preserve"> </w:t>
      </w:r>
      <w:r>
        <w:t xml:space="preserve">по новому кредиту рассчитывается по сумме</w:t>
      </w:r>
      <w:r>
        <w:t xml:space="preserve"> </w:t>
      </w:r>
      <w:r>
        <w:rPr>
          <w:rStyle w:val="VerbatimChar"/>
        </w:rPr>
        <w:t xml:space="preserve">A</w:t>
      </w:r>
      <w:r>
        <w:t xml:space="preserve">, сроку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месяцев и номинальной годовой ставке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 процентах:</w:t>
      </w:r>
      <w:r>
        <w:t xml:space="preserve"> </w:t>
      </w:r>
      <w:r>
        <w:rPr>
          <w:rStyle w:val="VerbatimChar"/>
        </w:rPr>
        <w:t xml:space="preserve">r = R / 1200</w:t>
      </w:r>
      <w:r>
        <w:t xml:space="preserve">;</w:t>
      </w:r>
      <w:r>
        <w:t xml:space="preserve"> </w:t>
      </w:r>
      <w:r>
        <w:rPr>
          <w:rStyle w:val="VerbatimChar"/>
        </w:rPr>
        <w:t xml:space="preserve">P_new = A·r / (1 − (1+r)^(-n))</w:t>
      </w:r>
      <w:r>
        <w:t xml:space="preserve">, при нулевой ставке</w:t>
      </w:r>
      <w:r>
        <w:t xml:space="preserve"> </w:t>
      </w:r>
      <w:r>
        <w:rPr>
          <w:rStyle w:val="VerbatimChar"/>
        </w:rPr>
        <w:t xml:space="preserve">P_new = A/n</w:t>
      </w:r>
      <w:r>
        <w:t xml:space="preserve">. В генераторе применяются</w:t>
      </w:r>
      <w:r>
        <w:t xml:space="preserve"> </w:t>
      </w:r>
      <w:r>
        <w:rPr>
          <w:b/>
          <w:bCs/>
        </w:rPr>
        <w:t xml:space="preserve">условные тестовые ставки</w:t>
      </w:r>
      <w:r>
        <w:t xml:space="preserve">, не реальные кредитные предложения банка.</w:t>
      </w:r>
    </w:p>
    <w:p>
      <w:pPr>
        <w:pStyle w:val="BodyText"/>
      </w:pPr>
      <w:r>
        <w:rPr>
          <w:b/>
          <w:bCs/>
        </w:rPr>
        <w:t xml:space="preserve">DSCR proxy:</w:t>
      </w:r>
      <w:r>
        <w:t xml:space="preserve"> </w:t>
      </w:r>
      <w:r>
        <w:rPr>
          <w:rStyle w:val="VerbatimChar"/>
        </w:rPr>
        <w:t xml:space="preserve">CF_proxy = average(revenue_last_6_months) − monthly_operating_expenses</w:t>
      </w:r>
      <w:r>
        <w:t xml:space="preserve">;</w:t>
      </w:r>
      <w:r>
        <w:t xml:space="preserve"> </w:t>
      </w:r>
      <w:r>
        <w:rPr>
          <w:rStyle w:val="VerbatimChar"/>
        </w:rPr>
        <w:t xml:space="preserve">DSCR = CF_proxy / (existing_monthly_debt_payments + P_new)</w:t>
      </w:r>
      <w:r>
        <w:t xml:space="preserve">. Платежи по кредитам</w:t>
      </w:r>
      <w:r>
        <w:t xml:space="preserve"> </w:t>
      </w:r>
      <w:r>
        <w:rPr>
          <w:b/>
          <w:bCs/>
        </w:rPr>
        <w:t xml:space="preserve">не входят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monthly_operating_expenses</w:t>
      </w:r>
      <w:r>
        <w:t xml:space="preserve">, чтобы не учитывать их дважды. Это упрощённый proxy, не профессионально реконструированный денежный поток.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Значение DSCR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 xml:space="preserve">Баллы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Значение Debt/Equity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 xml:space="preserve">Баллы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≥ 1.50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≤ 0.50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1.20 ... &lt; 1.50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 0.50 ... ≤ 1.00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1.00 ... &lt; 1.20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 1.00 ... ≤ 2.00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&lt; 1.00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 2.00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Debt/Equity = (outstanding_debt_before_new_loan + requested_loan_amount) / equity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equity ≤ 0</w:t>
      </w:r>
      <w:r>
        <w:t xml:space="preserve"> </w:t>
      </w:r>
      <w:r>
        <w:t xml:space="preserve">начисляются 0 баллов и выдаётся предупреждение</w:t>
      </w:r>
      <w:r>
        <w:t xml:space="preserve"> </w:t>
      </w:r>
      <w:r>
        <w:rPr>
          <w:rStyle w:val="VerbatimChar"/>
        </w:rPr>
        <w:t xml:space="preserve">NON_POSITIVE_EQUITY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Значение ликвидности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 xml:space="preserve">Баллы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Вариация выручки (CV)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 xml:space="preserve">Баллы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≥ 1.50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≤ 10%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1.20 ... &lt; 1.50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&gt;10% ... ≤25%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1.00 ... &lt; 1.20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&gt;25% ... ≤40%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0.80 ... &lt; 1.00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&gt;40%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&lt; 0.80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</w:pP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Ликвидность = current_assets / current_liabilities</w:t>
      </w:r>
      <w:r>
        <w:t xml:space="preserve">.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— стандартное отклонение</w:t>
      </w:r>
      <w:r>
        <w:t xml:space="preserve"> </w:t>
      </w:r>
      <w:r>
        <w:rPr>
          <w:b/>
          <w:bCs/>
        </w:rPr>
        <w:t xml:space="preserve">генеральной совокупности</w:t>
      </w:r>
      <w:r>
        <w:t xml:space="preserve"> </w:t>
      </w:r>
      <w:r>
        <w:t xml:space="preserve">шести помесячных выручек, делённое на их среднее. Для временного упрощения</w:t>
      </w:r>
      <w:r>
        <w:t xml:space="preserve"> </w:t>
      </w:r>
      <w:r>
        <w:rPr>
          <w:rStyle w:val="VerbatimChar"/>
        </w:rPr>
        <w:t xml:space="preserve">current_liabilities = 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current_assets &gt; 0</w:t>
      </w:r>
      <w:r>
        <w:t xml:space="preserve"> </w:t>
      </w:r>
      <w:r>
        <w:t xml:space="preserve">дают 15 баллов + предупреждение; оба нуля дают ошибку недостаточности данных. При шести нулевых выручках начисляется 0 баллов за CV + предупреждение.</w:t>
      </w:r>
    </w:p>
    <w:p>
      <w:pPr>
        <w:pStyle w:val="BodyText"/>
      </w:pPr>
      <w:r>
        <w:rPr>
          <w:b/>
          <w:bCs/>
        </w:rPr>
        <w:t xml:space="preserve">История кредитования:</w:t>
      </w:r>
      <w:r>
        <w:t xml:space="preserve"> </w:t>
      </w:r>
      <w:r>
        <w:rPr>
          <w:rStyle w:val="VerbatimChar"/>
        </w:rPr>
        <w:t xml:space="preserve">no_overdues_12m</w:t>
      </w:r>
      <w:r>
        <w:t xml:space="preserve"> </w:t>
      </w:r>
      <w:r>
        <w:t xml:space="preserve">— 20;</w:t>
      </w:r>
      <w:r>
        <w:t xml:space="preserve"> </w:t>
      </w:r>
      <w:r>
        <w:rPr>
          <w:rStyle w:val="VerbatimChar"/>
        </w:rPr>
        <w:t xml:space="preserve">no_history</w:t>
      </w:r>
      <w:r>
        <w:t xml:space="preserve"> </w:t>
      </w:r>
      <w:r>
        <w:t xml:space="preserve">— 10;</w:t>
      </w:r>
      <w:r>
        <w:t xml:space="preserve"> </w:t>
      </w:r>
      <w:r>
        <w:rPr>
          <w:rStyle w:val="VerbatimChar"/>
        </w:rPr>
        <w:t xml:space="preserve">closed_overdue_under_30</w:t>
      </w:r>
      <w:r>
        <w:t xml:space="preserve"> </w:t>
      </w:r>
      <w:r>
        <w:t xml:space="preserve">— 12;</w:t>
      </w:r>
      <w:r>
        <w:t xml:space="preserve"> </w:t>
      </w:r>
      <w:r>
        <w:rPr>
          <w:rStyle w:val="VerbatimChar"/>
        </w:rPr>
        <w:t xml:space="preserve">closed_overdue_30_89</w:t>
      </w:r>
      <w:r>
        <w:t xml:space="preserve"> </w:t>
      </w:r>
      <w:r>
        <w:t xml:space="preserve">— 5;</w:t>
      </w:r>
      <w:r>
        <w:t xml:space="preserve"> </w:t>
      </w:r>
      <w:r>
        <w:rPr>
          <w:rStyle w:val="VerbatimChar"/>
        </w:rPr>
        <w:t xml:space="preserve">current_or_90plus_overdue</w:t>
      </w:r>
      <w:r>
        <w:t xml:space="preserve"> </w:t>
      </w:r>
      <w:r>
        <w:t xml:space="preserve">— 0. Отсутствующая история ≠ недоступность мока БКИ.</w:t>
      </w:r>
    </w:p>
    <w:p>
      <w:pPr>
        <w:pStyle w:val="BodyText"/>
      </w:pPr>
      <w:r>
        <w:rPr>
          <w:b/>
          <w:bCs/>
        </w:rPr>
        <w:t xml:space="preserve">Срок бизнеса:</w:t>
      </w:r>
      <w:r>
        <w:t xml:space="preserve"> </w:t>
      </w:r>
      <w:r>
        <w:rPr>
          <w:rStyle w:val="VerbatimChar"/>
        </w:rPr>
        <w:t xml:space="preserve">≥36 мес.</w:t>
      </w:r>
      <w:r>
        <w:t xml:space="preserve"> </w:t>
      </w:r>
      <w:r>
        <w:t xml:space="preserve">— 5;</w:t>
      </w:r>
      <w:r>
        <w:t xml:space="preserve"> </w:t>
      </w:r>
      <w:r>
        <w:rPr>
          <w:rStyle w:val="VerbatimChar"/>
        </w:rPr>
        <w:t xml:space="preserve">12–35</w:t>
      </w:r>
      <w:r>
        <w:t xml:space="preserve"> </w:t>
      </w:r>
      <w:r>
        <w:t xml:space="preserve">— 3;</w:t>
      </w:r>
      <w:r>
        <w:t xml:space="preserve"> </w:t>
      </w:r>
      <w:r>
        <w:rPr>
          <w:rStyle w:val="VerbatimChar"/>
        </w:rPr>
        <w:t xml:space="preserve">6–11</w:t>
      </w:r>
      <w:r>
        <w:t xml:space="preserve"> </w:t>
      </w:r>
      <w:r>
        <w:t xml:space="preserve">— 1;</w:t>
      </w:r>
      <w:r>
        <w:t xml:space="preserve"> </w:t>
      </w:r>
      <w:r>
        <w:rPr>
          <w:rStyle w:val="VerbatimChar"/>
        </w:rPr>
        <w:t xml:space="preserve">0–5</w:t>
      </w:r>
      <w:r>
        <w:t xml:space="preserve"> </w:t>
      </w:r>
      <w:r>
        <w:t xml:space="preserve">— 0. Для бизнеса младше шести месяцев требование полной шестимесячной истории выручки нужно отдельно разрешить на уровне продукта.</w:t>
      </w:r>
    </w:p>
    <w:bookmarkEnd w:id="22"/>
    <w:bookmarkStart w:id="23" w:name="Xae404b9ec72977366baa9f7cefd5579d29adc00"/>
    <w:p>
      <w:pPr>
        <w:pStyle w:val="Heading2"/>
      </w:pPr>
      <w:r>
        <w:t xml:space="preserve">4. Итог и использование результата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Балл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Категория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Что означает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0–45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Высокий условный риск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46–75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Средний условный риск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76–100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LOW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Низкий условный риск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Предварительное условие положительного автоматического демо-маршрута — строго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score &gt; 75</w:t>
      </w:r>
      <w:r>
        <w:rPr>
          <w:b/>
          <w:bCs/>
        </w:rPr>
        <w:t xml:space="preserve"> </w:t>
      </w:r>
      <w:r>
        <w:rPr>
          <w:b/>
          <w:bCs/>
        </w:rPr>
        <w:t xml:space="preserve">при выполненных обязательных проверках.</w:t>
      </w:r>
      <w:r>
        <w:t xml:space="preserve"> </w:t>
      </w:r>
      <w:r>
        <w:t xml:space="preserve">Балл 75 не проходит, 76 проходит только вместе с проверками. Кредитная политика отделена от модели и ещё подлежит бизнес-согласованию.</w:t>
      </w:r>
    </w:p>
    <w:bookmarkEnd w:id="23"/>
    <w:bookmarkStart w:id="24" w:name="X229a14ca33225ef3910cd6e99ee487f2a45f8f7"/>
    <w:p>
      <w:pPr>
        <w:pStyle w:val="Heading2"/>
      </w:pPr>
      <w:r>
        <w:t xml:space="preserve">5. Какие сценарии мы проанализировали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Демонстрация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Проверяемая гипотеза</w:t>
            </w:r>
          </w:p>
        </w:tc>
        <w:tc>
          <w:tcPr>
            <w:vAlign w:val="center"/>
            <w:shd w:fill="EDF1F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16"/>
              </w:rPr>
              <w:t xml:space="preserve">Результат расчёта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Кофейня до проверки документов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Высокие первичные показатели; одобрять без документов нельзя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92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REQUEST_DOCUMENTS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Та же кофейня после проверки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Обнаруженные дополнительные обязательства и нестабильные поступления меняют риск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62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MANUAL_REVIEW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Высокорисковая компания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Низкая способность обслуживать долг и слабое финансовое положение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16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DECLINED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по демо-правилам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Пороговые заявки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Проверка строгого сравнения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&gt;75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bCs/>
                <w:sz w:val="16"/>
              </w:rPr>
              <w:t xml:space="preserve">75 → MANUAL_REVIEW; 76 → APPROVED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Нулевой капитал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Коэффициент не вычисляется; нельзя скрывать проблему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NON_POSITIVE_EQUITY</w:t>
            </w:r>
            <w:r>
              <w:rPr>
                <w:sz w:val="16"/>
              </w:rPr>
              <w:t xml:space="preserve">, ручное рассмотрение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Ошибочные финансовые данные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16"/>
              </w:rPr>
              <w:t xml:space="preserve">Не приравнивать отсутствие информации к нулевому рисковому баллу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  <w:sz w:val="16"/>
              </w:rPr>
              <w:t xml:space="preserve">INSUFFICIENT_DATA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или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INVALID_INPUT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Расширенный синтетический анализ (фиксированный seed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20261023</w:t>
      </w:r>
      <w:r>
        <w:rPr>
          <w:b/>
          <w:bCs/>
        </w:rPr>
        <w:t xml:space="preserve">):</w:t>
      </w:r>
      <w:r>
        <w:t xml:space="preserve"> </w:t>
      </w:r>
      <w:r>
        <w:t xml:space="preserve">создано</w:t>
      </w:r>
      <w:r>
        <w:t xml:space="preserve"> </w:t>
      </w:r>
      <w:r>
        <w:rPr>
          <w:b/>
          <w:bCs/>
        </w:rPr>
        <w:t xml:space="preserve">1 500 валидных</w:t>
      </w:r>
      <w:r>
        <w:t xml:space="preserve"> </w:t>
      </w:r>
      <w:r>
        <w:t xml:space="preserve">кейсов и</w:t>
      </w:r>
      <w:r>
        <w:t xml:space="preserve"> </w:t>
      </w:r>
      <w:r>
        <w:rPr>
          <w:b/>
          <w:bCs/>
        </w:rPr>
        <w:t xml:space="preserve">34 некорректных</w:t>
      </w:r>
      <w:r>
        <w:t xml:space="preserve"> </w:t>
      </w:r>
      <w:r>
        <w:t xml:space="preserve">входных кейса. В 1 500 валидных наблюдениях получилось</w:t>
      </w:r>
      <w:r>
        <w:t xml:space="preserve"> </w:t>
      </w:r>
      <w:r>
        <w:rPr>
          <w:b/>
          <w:bCs/>
        </w:rPr>
        <w:t xml:space="preserve">464 LOW</w:t>
      </w:r>
      <w:r>
        <w:t xml:space="preserve">,</w:t>
      </w:r>
      <w:r>
        <w:t xml:space="preserve"> </w:t>
      </w:r>
      <w:r>
        <w:rPr>
          <w:b/>
          <w:bCs/>
        </w:rPr>
        <w:t xml:space="preserve">378 MEDIUM</w:t>
      </w:r>
      <w:r>
        <w:t xml:space="preserve">,</w:t>
      </w:r>
      <w:r>
        <w:t xml:space="preserve"> </w:t>
      </w:r>
      <w:r>
        <w:rPr>
          <w:b/>
          <w:bCs/>
        </w:rPr>
        <w:t xml:space="preserve">658 HIGH</w:t>
      </w:r>
      <w:r>
        <w:t xml:space="preserve">; демо-маршруты:</w:t>
      </w:r>
      <w:r>
        <w:t xml:space="preserve"> </w:t>
      </w:r>
      <w:r>
        <w:rPr>
          <w:b/>
          <w:bCs/>
        </w:rPr>
        <w:t xml:space="preserve">314 APPROVED</w:t>
      </w:r>
      <w:r>
        <w:t xml:space="preserve">,</w:t>
      </w:r>
      <w:r>
        <w:t xml:space="preserve"> </w:t>
      </w:r>
      <w:r>
        <w:rPr>
          <w:b/>
          <w:bCs/>
        </w:rPr>
        <w:t xml:space="preserve">302 MANUAL_REVIEW</w:t>
      </w:r>
      <w:r>
        <w:t xml:space="preserve">,</w:t>
      </w:r>
      <w:r>
        <w:t xml:space="preserve"> </w:t>
      </w:r>
      <w:r>
        <w:rPr>
          <w:b/>
          <w:bCs/>
        </w:rPr>
        <w:t xml:space="preserve">502 DECLINED</w:t>
      </w:r>
      <w:r>
        <w:t xml:space="preserve">,</w:t>
      </w:r>
      <w:r>
        <w:t xml:space="preserve"> </w:t>
      </w:r>
      <w:r>
        <w:rPr>
          <w:b/>
          <w:bCs/>
        </w:rPr>
        <w:t xml:space="preserve">382 REQUEST_DOCUMENTS</w:t>
      </w:r>
      <w:r>
        <w:t xml:space="preserve">. Дополнительно подготовлено</w:t>
      </w:r>
      <w:r>
        <w:t xml:space="preserve"> </w:t>
      </w:r>
      <w:r>
        <w:rPr>
          <w:b/>
          <w:bCs/>
        </w:rPr>
        <w:t xml:space="preserve">30 пар</w:t>
      </w:r>
      <w:r>
        <w:t xml:space="preserve"> </w:t>
      </w:r>
      <w:r>
        <w:t xml:space="preserve">предварительной и уточнённой оценки одного бизнеса. Диапазон итоговых баллов в наборе —</w:t>
      </w:r>
      <w:r>
        <w:t xml:space="preserve"> </w:t>
      </w:r>
      <w:r>
        <w:rPr>
          <w:b/>
          <w:bCs/>
        </w:rPr>
        <w:t xml:space="preserve">от 1 до 100</w:t>
      </w:r>
      <w:r>
        <w:t xml:space="preserve">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статистика реальных предпринимателей и не измерение качества прогноза</w:t>
      </w:r>
      <w:r>
        <w:t xml:space="preserve">. Мы намеренно сгенерировали разные финансовые профили (в том числе рискованные), чтобы проверить формулы, интерфейс и разные пути в конвейере. Сам набор не доказывает экономическую точность экспертных весов.</w:t>
      </w:r>
    </w:p>
    <w:bookmarkEnd w:id="24"/>
    <w:bookmarkStart w:id="25" w:name="X8f272d7879d332342657f611f5ff9cc9f34a7fe"/>
    <w:p>
      <w:pPr>
        <w:pStyle w:val="Heading2"/>
      </w:pPr>
      <w:r>
        <w:t xml:space="preserve">6. Что считаем готовым, а что нет</w:t>
      </w:r>
    </w:p>
    <w:p>
      <w:pPr>
        <w:pStyle w:val="FirstParagraph"/>
      </w:pPr>
      <w:r>
        <w:rPr>
          <w:b/>
          <w:bCs/>
        </w:rPr>
        <w:t xml:space="preserve">Готово:</w:t>
      </w:r>
      <w:r>
        <w:t xml:space="preserve"> </w:t>
      </w:r>
      <w:r>
        <w:t xml:space="preserve">детерминированная функция Python, шесть признаков, 100-балльный результат, объясняющие факторы, обработка ошибок, синтетический набор, тесты.</w:t>
      </w:r>
    </w:p>
    <w:p>
      <w:pPr>
        <w:pStyle w:val="BodyText"/>
      </w:pPr>
      <w:r>
        <w:rPr>
          <w:b/>
          <w:bCs/>
        </w:rPr>
        <w:t xml:space="preserve">Отдельно согласовывается с командой:</w:t>
      </w:r>
      <w:r>
        <w:t xml:space="preserve"> </w:t>
      </w:r>
      <w:r>
        <w:t xml:space="preserve">источники финансовых данных и способ определения капитала для ИП, правила мока БКИ, продуктовые ограничения, права сотрудника на ручное решение, правила коммуникации итогов клиенту, порядок приоритетов блокирующих проверок. В текущем комплекте нет обученной модели, реальных интеграций банка и рабочего HTTP API.</w:t>
      </w:r>
    </w:p>
    <w:bookmarkEnd w:id="25"/>
    <w:bookmarkEnd w:id="26"/>
    <w:sectPr>
      <w:footerReference w:type="default" r:id="rId9"/>
      <w:pgMar w:left="1152" w:right="1152" w:top="850" w:bottom="8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089"/>
        <w:sz w:val="16"/>
      </w:rPr>
      <w:t>Альфа-Хак 2026 · Аналитическая модель · Демонстрационный прототип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242" w:lineRule="auto"/>
    </w:pPr>
    <w:rPr>
      <w:rFonts w:ascii="Aptos" w:hAnsi="Aptos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22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E232D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2026-10-22T22:58:30Z</dcterms:created>
  <dcterms:modified xsi:type="dcterms:W3CDTF">2026-10-22T22:58:30Z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