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2E74B5"/>
          <w:sz w:val="21"/>
        </w:rPr>
        <w:t>人工智能安全竞赛 · 系统工程与后端集成</w:t>
      </w:r>
    </w:p>
    <w:p>
      <w:pPr>
        <w:spacing w:after="80"/>
      </w:pPr>
      <w:r>
        <w:rPr>
          <w:rFonts w:ascii="Calibri" w:hAnsi="Calibri" w:eastAsia="Microsoft YaHei"/>
          <w:b/>
          <w:color w:val="111111"/>
          <w:sz w:val="46"/>
        </w:rPr>
        <w:t>SafeChat-Guard C 组赛前复核与改进报告</w:t>
      </w:r>
    </w:p>
    <w:p>
      <w:pPr>
        <w:spacing w:after="280"/>
      </w:pPr>
      <w:r>
        <w:rPr>
          <w:rFonts w:ascii="Calibri" w:hAnsi="Calibri" w:eastAsia="Microsoft YaHei"/>
          <w:color w:val="555555"/>
          <w:sz w:val="26"/>
        </w:rPr>
        <w:t>从可运行原型到可验收比赛工程</w:t>
      </w:r>
    </w:p>
    <w:p>
      <w:pPr>
        <w:spacing w:after="40"/>
      </w:pPr>
      <w:r>
        <w:rPr>
          <w:rFonts w:ascii="Calibri" w:hAnsi="Calibri" w:eastAsia="Microsoft YaHei"/>
          <w:b/>
          <w:color w:val="222222"/>
          <w:sz w:val="22"/>
        </w:rPr>
        <w:t>报告日期：</w:t>
      </w:r>
      <w:r>
        <w:rPr>
          <w:rFonts w:ascii="Calibri" w:hAnsi="Calibri" w:eastAsia="Microsoft YaHei"/>
          <w:color w:val="222222"/>
          <w:sz w:val="22"/>
        </w:rPr>
        <w:t>2026-07-21</w:t>
      </w:r>
    </w:p>
    <w:p>
      <w:pPr>
        <w:spacing w:after="40"/>
      </w:pPr>
      <w:r>
        <w:rPr>
          <w:rFonts w:ascii="Calibri" w:hAnsi="Calibri" w:eastAsia="Microsoft YaHei"/>
          <w:b/>
          <w:color w:val="222222"/>
          <w:sz w:val="22"/>
        </w:rPr>
        <w:t>工程版本：</w:t>
      </w:r>
      <w:r>
        <w:rPr>
          <w:rFonts w:ascii="Calibri" w:hAnsi="Calibri" w:eastAsia="Microsoft YaHei"/>
          <w:color w:val="222222"/>
          <w:sz w:val="22"/>
        </w:rPr>
        <w:t>competition-ready-v1</w:t>
      </w:r>
    </w:p>
    <w:p>
      <w:pPr>
        <w:spacing w:after="40"/>
      </w:pPr>
      <w:r>
        <w:rPr>
          <w:rFonts w:ascii="Calibri" w:hAnsi="Calibri" w:eastAsia="Microsoft YaHei"/>
          <w:b/>
          <w:color w:val="222222"/>
          <w:sz w:val="22"/>
        </w:rPr>
        <w:t>验收目录：</w:t>
      </w:r>
      <w:r>
        <w:rPr>
          <w:rFonts w:ascii="Calibri" w:hAnsi="Calibri" w:eastAsia="Microsoft YaHei"/>
          <w:color w:val="222222"/>
          <w:sz w:val="22"/>
        </w:rPr>
        <w:t>SafeChat-Guard-competition-ready</w:t>
      </w:r>
    </w:p>
    <w:p>
      <w:pPr>
        <w:spacing w:after="40"/>
      </w:pPr>
      <w:r>
        <w:rPr>
          <w:rFonts w:ascii="Calibri" w:hAnsi="Calibri" w:eastAsia="Microsoft YaHei"/>
          <w:b/>
          <w:color w:val="222222"/>
          <w:sz w:val="22"/>
        </w:rPr>
        <w:t>最终结论：</w:t>
      </w:r>
      <w:r>
        <w:rPr>
          <w:rFonts w:ascii="Calibri" w:hAnsi="Calibri" w:eastAsia="Microsoft YaHei"/>
          <w:color w:val="222222"/>
          <w:sz w:val="22"/>
        </w:rPr>
        <w:t>工程可参赛；模型效果仍需正式 gold 集验收</w:t>
      </w:r>
    </w:p>
    <w:p/>
    <w:p>
      <w:pPr>
        <w:pStyle w:val="Heading1"/>
      </w:pPr>
      <w:r>
        <w:t>执行摘要</w:t>
      </w:r>
    </w:p>
    <w:p>
      <w:r>
        <w:rPr>
          <w:rFonts w:ascii="Calibri" w:hAnsi="Calibri" w:eastAsia="Microsoft YaHei"/>
          <w:color w:val="222222"/>
          <w:sz w:val="22"/>
        </w:rPr>
        <w:t>当前工程已经达到可安装、可启动、可演示、可联调、可回归的比赛提交标准。最终自动化测试为 127 passed；API 与 Streamlit 实际启动健康；模型 SHA、类别契约、输入/输出安全不变量均通过。</w:t>
      </w:r>
    </w:p>
    <w:p>
      <w:r>
        <w:rPr>
          <w:rFonts w:ascii="Calibri" w:hAnsi="Calibri" w:eastAsia="Microsoft YaHei"/>
          <w:b/>
          <w:color w:val="222222"/>
          <w:sz w:val="22"/>
        </w:rPr>
        <w:t>重要边界：</w:t>
      </w:r>
      <w:r>
        <w:rPr>
          <w:rFonts w:ascii="Calibri" w:hAnsi="Calibri" w:eastAsia="Microsoft YaHei"/>
          <w:color w:val="222222"/>
          <w:sz w:val="22"/>
        </w:rPr>
        <w:t>当前 char V2 仍是弱标签模型，测试风险召回 61.36%、正常误报 14.29%，尚未达到建议的 80%/5% 目标。200 条独立候选仍待人工审核，不能把开发样例 12/12 表述为正式比赛准确率。</w:t>
      </w:r>
    </w:p>
    <w:p>
      <w:pPr>
        <w:pStyle w:val="Heading1"/>
      </w:pPr>
      <w:r>
        <w:t>1. 本轮最关键的两个问题</w:t>
      </w:r>
    </w:p>
    <w:p>
      <w:pPr>
        <w:pStyle w:val="Heading2"/>
      </w:pPr>
      <w:r>
        <w:t>1.1 最可能被忽略：并发日志竞争</w:t>
      </w:r>
    </w:p>
    <w:p>
      <w:r>
        <w:rPr>
          <w:rFonts w:ascii="Calibri" w:hAnsi="Calibri" w:eastAsia="Microsoft YaHei"/>
          <w:color w:val="222222"/>
          <w:sz w:val="22"/>
        </w:rPr>
        <w:t>后端采用多线程 HTTP 服务，旧日志器却没有锁。多人同时访问时，写入与统计读取可能交叉，形成半行 JSON、接口 500 或计数漂移。单线程测试通常发现不了这一风险。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写入、轮转、读取和统计共用 RLock。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增加 5 MiB 轮转、5 个备份和 7 天保留策略。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增加 200 次并发 JSONL 写入和 60 次并发 HTTP 请求测试。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测试日志改用临时目录，交付扫描器禁止缓存和临时日志进入提交包。</w:t>
      </w:r>
    </w:p>
    <w:p>
      <w:pPr>
        <w:pStyle w:val="Heading2"/>
      </w:pPr>
      <w:r>
        <w:t>1.2 最没把握：模型哈希是否真正生效</w:t>
      </w:r>
    </w:p>
    <w:p>
      <w:r>
        <w:rPr>
          <w:rFonts w:ascii="Calibri" w:hAnsi="Calibri" w:eastAsia="Microsoft YaHei"/>
          <w:color w:val="222222"/>
          <w:sz w:val="22"/>
        </w:rPr>
        <w:t>旧实现只展示 SHA-256，并未在加载前核验。joblib 官方文档指出 joblib.load 基于 pickle，加载不可信文件可能执行任意代码；因此哈希必须成为反序列化前的硬门槛。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先计算实际 SHA-256，再决定是否调用 joblib.load。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哈希不符、接口不兼容或类别集合不符时，/ready 返回 503。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移除停用的旧 pkl，唯一活动模型为 semantic_model_v2.joblib。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状态接口返回 expected/actual SHA、完整性、类别契约和模型大小。</w:t>
      </w:r>
    </w:p>
    <w:p>
      <w:pPr>
        <w:pStyle w:val="Heading1"/>
      </w:pPr>
      <w:r>
        <w:t>2. 反馈问题逐项复核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7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0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分支范围过大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已控制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保留模块边界；不再整库覆盖规则、训练数据和前端。后续按主题拆 PR。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大幅删除规则/词库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保留主线规则库与回归能力，本轮未替换词库。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弱化安全测试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新增供应链、并发、异常输入、前端启动和 Qwen 契约测试；127 passed。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gitignore/CI 削弱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已解决/待远端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强化忽略规则；CI 配置 Windows/Linux、测试、验收、扫描、编译。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归一化接口不兼容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统一 normalize_with_trace，接口和全套回归通过。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异常输入导致崩溃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统一 400/408/413/415/422/500；限制请求体、字符数和读取超时。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日志记录敏感原文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递归脱敏，并发锁、轮转、保留期、损坏行容错和敏感扫描。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sanitize 原文流出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未变化则安全重写，再失败升级 block；过滤时 raw_reply=null。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评估动作被覆盖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分别记录 input_action、output_action、final_action。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原端到端仅 25%</w:t>
            </w:r>
          </w:p>
        </w:tc>
        <w:tc>
          <w:tcPr>
            <w:tcW w:type="dxa" w:w="1700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开发回归已解决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12 条开发样例 12/12；不作为泛化指标。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正式模型未接入</w:t>
            </w:r>
          </w:p>
        </w:tc>
        <w:tc>
          <w:tcPr>
            <w:tcW w:type="dxa" w:w="1700"/>
            <w:vAlign w:val="center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部分完成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char V2 已接入并可追溯；正式 gold 与最终阈值仍待 A/B。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 契约不足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请求、响应、限制、错误码、降级、stats、health/ready 均已文档化。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正式评估不足</w:t>
            </w:r>
          </w:p>
        </w:tc>
        <w:tc>
          <w:tcPr>
            <w:tcW w:type="dxa" w:w="1700"/>
            <w:vAlign w:val="center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未完成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200 条候选仍 pending；系统拒绝伪造 gold。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可运维性不足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健康检查、超时、并发、轮转、时间窗、版本字段齐全。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abuse 类别不统一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已明确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abuse 暂由规则层处理；API/前端接受类别并集。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Qwen 配置仍走 Mock</w:t>
            </w:r>
          </w:p>
        </w:tc>
        <w:tc>
          <w:tcPr>
            <w:tcW w:type="dxa" w:w="1700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已解决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实现 OpenAI 兼容 HTTPS 客户端、环境变量密钥和安全 503。</w:t>
            </w:r>
          </w:p>
        </w:tc>
      </w:tr>
    </w:tbl>
    <w:p>
      <w:pPr>
        <w:spacing w:after="40"/>
      </w:pPr>
    </w:p>
    <w:p>
      <w:pPr>
        <w:pStyle w:val="Heading1"/>
      </w:pPr>
      <w:r>
        <w:t>3. 最终验收结果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63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全套 pytest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127 passed，7.31 秒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模型完整性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loaded=true；SHA 与类别契约均通过；error=null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200 次完整链路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平均 1.65 ms；P95 1.88 ms；最大 2.35 ms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HTTP 并发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60 次并发聊天请求全部成功，统计计数准确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JSONL 并发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200 次并发写入均为完整 JSON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开发链路评估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12/12；输入/输出/最终动作分别统计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Streamlit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自动启动 0 异常；真实健康端点 200/ok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/health=ok；/ready=true；模型和 Mock LLM 均 ready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交付扫描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无密钥模式、超大文件、缓存或临时日志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Python 编译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compileall 通过</w:t>
            </w:r>
          </w:p>
        </w:tc>
      </w:tr>
    </w:tbl>
    <w:p>
      <w:pPr>
        <w:spacing w:after="40"/>
      </w:pPr>
    </w:p>
    <w:p>
      <w:pPr>
        <w:pStyle w:val="Heading1"/>
      </w:pPr>
      <w:r>
        <w:t>4. 模型效果边界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3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accuracy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53.85%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macro F1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48.77%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风险召回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61.36%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正常误报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14.29%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评估性质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弱标签分组留出集，不是正式比赛指标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222222"/>
          <w:sz w:val="22"/>
        </w:rPr>
        <w:t>结论：</w:t>
      </w:r>
      <w:r>
        <w:rPr>
          <w:rFonts w:ascii="Calibri" w:hAnsi="Calibri" w:eastAsia="Microsoft YaHei"/>
          <w:color w:val="222222"/>
          <w:sz w:val="22"/>
        </w:rPr>
        <w:t>工程链路可以正式参赛；模型检测效果仍未达到建议目标。答辩时应将 12/12 定义为开发回归，将上述弱标签指标定义为当前基线，将最终成绩留给冻结 gold test。</w:t>
      </w:r>
    </w:p>
    <w:p>
      <w:pPr>
        <w:pStyle w:val="Heading1"/>
      </w:pPr>
      <w:r>
        <w:t>5. 赛前必须完成的外部动作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A/B 完成 200 条独立样本双人审核，生成冻结 semantic_gold_v1.csv。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B 只在 calibration 集校准阈值，在独立 test 上运行一次最终评估。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使用比赛 Qwen 账号完成一次真实联网联调，密钥只放环境变量。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如旧 Git 历史出现过 API Key，必须在供应商控制台吊销、轮换并检查调用记录。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上传 GitHub 后确认 Windows/Linux 两个 Actions job 均通过。</w:t>
      </w:r>
    </w:p>
    <w:p>
      <w:pPr>
        <w:pStyle w:val="Heading1"/>
      </w:pPr>
      <w:r>
        <w:t>6. 比赛使用建议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稳定演示优先保持 llm.provider=mock，完整展示输入归一化、规则+语义、分级处理、输出复检和日志统计。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联网演示改为 qwen 并设置 QWEN_API_KEY，启动前必须确认 /ready 返回 200。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可以表述为‘工程链路完整、127 项测试通过、模型制品可追溯’；不能表述为‘模型准确率 100%’。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提交前依次运行 verify_runtime.py、security_scan.py 和 pytest -q。</w:t>
      </w:r>
    </w:p>
    <w:p>
      <w:pPr>
        <w:pStyle w:val="Heading1"/>
      </w:pPr>
      <w:r>
        <w:t>7. 参考与交付物</w:t>
      </w:r>
    </w:p>
    <w:p>
      <w:r>
        <w:rPr>
          <w:rFonts w:ascii="Calibri" w:hAnsi="Calibri" w:eastAsia="Microsoft YaHei"/>
          <w:color w:val="222222"/>
          <w:sz w:val="22"/>
        </w:rPr>
        <w:t>安全依据：joblib Persistence 文档 https://joblib.readthedocs.io/en/stable/persistence.html；Python pickle 文档 https://docs.python.org/3/library/pickle.html。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完整工程：SafeChat-Guard-competition-ready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模型清单：models/MODEL_MANIFEST.json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API 契约：docs/API_CONTRACT.md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运维说明：docs/OPERATIONS.md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机器可读验收：reports/runtime_verification.json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详细 Markdown 报告：docs/COMPETITION_READINESS_REPORT.md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SafeChat-Guard  |  C 组赛前复核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SafeChat-Guard C 组赛前复核与改进报告</dc:title>
  <dc:subject>人工智能安全竞赛系统工程验收</dc:subject>
  <dc:creator>SafeChat-Guard 项目组</dc:creator>
  <cp:keywords>SafeChat-Guard, LLM 安全, 内容去毒, C 组, 赛前验收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