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rPr>
        <w:t>Figure legends</w:t>
      </w:r>
    </w:p>
    <w:p>
      <w:pPr>
        <w:jc w:val="left"/>
      </w:pPr>
      <w:r>
        <w:rPr>
          <w:b/>
          <w:i w:val="0"/>
          <w:sz w:val="20"/>
        </w:rPr>
        <w:t>Figure 1.</w:t>
      </w:r>
      <w:r>
        <w:rPr>
          <w:b w:val="0"/>
          <w:i w:val="0"/>
          <w:sz w:val="20"/>
        </w:rPr>
        <w:t xml:space="preserve"> Accuracy of the re-implemented classifiers against the published values for the 48 combinations of classifier, molecule and abundance threshold. The dashed line marks equality and the grey band ±5 points.</w:t>
      </w:r>
    </w:p>
    <w:p>
      <w:pPr>
        <w:jc w:val="left"/>
      </w:pPr>
      <w:r>
        <w:rPr>
          <w:b/>
          <w:i w:val="0"/>
          <w:sz w:val="20"/>
        </w:rPr>
        <w:t>Figure 2.</w:t>
      </w:r>
      <w:r>
        <w:rPr>
          <w:b w:val="0"/>
          <w:i w:val="0"/>
          <w:sz w:val="20"/>
        </w:rPr>
        <w:t xml:space="preserve"> The re-implemented consortium classifier under each departure from its simulator (abundance threshold 10⁻⁴, mean over the four classifiers and four molecules). Open circles: accuracy lost by the classifier as published; filled circles: loss of the same design retrained on a randomized grid; black ticks: irreducible loss, what a design retrained at the test condition still lost. Error bars: standard deviation of the loss across the four molecules.</w:t>
      </w:r>
    </w:p>
    <w:p>
      <w:pPr>
        <w:jc w:val="left"/>
      </w:pPr>
      <w:r>
        <w:rPr>
          <w:b/>
          <w:i w:val="0"/>
          <w:sz w:val="20"/>
        </w:rPr>
        <w:t>Figure 3.</w:t>
      </w:r>
      <w:r>
        <w:rPr>
          <w:b w:val="0"/>
          <w:i w:val="0"/>
          <w:sz w:val="20"/>
        </w:rPr>
        <w:t xml:space="preserve"> Why haze blinded the consortium classifier. (a) A test planet with CH₄ above 10⁻⁴ and a clear atmosphere, at the classifier's Tier-3 binning, without haze and with haze at 3 × 10⁷ m⁻³ (noise-free); the shaded region contains the three photometric points. (b) Share of planets that contain each molecule for which the classifier reported the molecule, against haze density, for the published input, the input without the three photometric points and the AIRS bins only (mean over the four classifiers and four molecules).</w:t>
      </w:r>
    </w:p>
    <w:p>
      <w:pPr>
        <w:jc w:val="left"/>
      </w:pPr>
      <w:r>
        <w:rPr>
          <w:b/>
          <w:i w:val="0"/>
          <w:sz w:val="20"/>
        </w:rPr>
        <w:t>Figure 4.</w:t>
      </w:r>
      <w:r>
        <w:rPr>
          <w:b w:val="0"/>
          <w:i w:val="0"/>
          <w:sz w:val="20"/>
        </w:rPr>
        <w:t xml:space="preserve"> The trust profile of the second classifier. (a) Accuracy on carbon-rich planets without and with HCN and C₂H₂ at their equilibrium abundances: on the simulated test sets at Tier-3 binning and on the 965 known Ariel targets under the payload noise model at Tier-3, Tier-2 and Tier-1 binning. The dashed line marks 50 %. (b) Accuracy lost to haze at 3 × 10⁷ m⁻³ with all inputs and with the three photometric points removed, for the consortium classifier and for the carbon-rich classifier at Tier-3 and Tier-1 binning; the clean accuracy given up by removing the points is printed above each pair.</w:t>
      </w:r>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