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rPr>
        <w:t>Figure legends</w:t>
      </w:r>
    </w:p>
    <w:p>
      <w:pPr>
        <w:jc w:val="left"/>
      </w:pPr>
      <w:r>
        <w:rPr>
          <w:b/>
          <w:i w:val="0"/>
          <w:sz w:val="20"/>
        </w:rPr>
        <w:t>Figure 1.</w:t>
      </w:r>
      <w:r>
        <w:rPr>
          <w:b w:val="0"/>
          <w:i w:val="0"/>
          <w:sz w:val="20"/>
        </w:rPr>
        <w:t xml:space="preserve"> The re-implementation against the published accuracies for the 48 combinations of classifier, molecule and abundance threshold. (a) Re-implemented against published accuracy; dashed line, equality. (b) Difference between the two for each combination, grouped by molecule, with marker shape giving the abundance threshold. Gray bands: ±5 points.</w:t>
      </w:r>
    </w:p>
    <w:p>
      <w:pPr>
        <w:jc w:val="left"/>
      </w:pPr>
      <w:r>
        <w:rPr>
          <w:b/>
          <w:i w:val="0"/>
          <w:sz w:val="20"/>
        </w:rPr>
        <w:t>Figure 2.</w:t>
      </w:r>
      <w:r>
        <w:rPr>
          <w:b w:val="0"/>
          <w:i w:val="0"/>
          <w:sz w:val="20"/>
        </w:rPr>
        <w:t xml:space="preserve"> The consortium classifier under each departure (threshold 10⁻⁴; mean over four classifiers and four molecules). Open circles: loss of the classifier as published; filled circles: loss after randomized training; black ticks: irreducible loss. Error bars: standard deviation across the four molecules.</w:t>
      </w:r>
    </w:p>
    <w:p>
      <w:pPr>
        <w:jc w:val="left"/>
      </w:pPr>
      <w:r>
        <w:rPr>
          <w:b/>
          <w:i w:val="0"/>
          <w:sz w:val="20"/>
        </w:rPr>
        <w:t>Figure 3.</w:t>
      </w:r>
      <w:r>
        <w:rPr>
          <w:b w:val="0"/>
          <w:i w:val="0"/>
          <w:sz w:val="20"/>
        </w:rPr>
        <w:t xml:space="preserve"> (a) A clear-atmosphere test planet with CH₄ above 10⁻⁴ at Tier-3 binning, without and with haze at 3 × 10⁷ m⁻³ (noise-free); shading marks the three photometric points. (b) Detection rate, the share of planets containing a molecule for which it was reported, against haze density for the published input, the input without the photometric points and the AIRS bins only (mean over four classifiers and four molecules).</w:t>
      </w:r>
    </w:p>
    <w:p>
      <w:pPr>
        <w:jc w:val="left"/>
      </w:pPr>
      <w:r>
        <w:rPr>
          <w:b/>
          <w:i w:val="0"/>
          <w:sz w:val="20"/>
        </w:rPr>
        <w:t>Figure 4.</w:t>
      </w:r>
      <w:r>
        <w:rPr>
          <w:b w:val="0"/>
          <w:i w:val="0"/>
          <w:sz w:val="20"/>
        </w:rPr>
        <w:t xml:space="preserve"> (a) Accuracy on carbon-rich planets without and with HCN and C₂H₂ at equilibrium abundances, on the simulated test sets (Tier 3) and on the 965 known Ariel targets with payload noise (Tiers 3, 2 and 1); dashed line, 50 %. (b) Accuracy lost to haze at 3 × 10⁷ m⁻³ with all inputs and without the three photometric points, for the consortium classifier and the carbon-rich classifier at Tier-3 and Tier-1 binning; numbers give the clean accuracy lost by removing the points.</w:t>
      </w:r>
    </w:p>
    <w:sectPr w:rsidR="00FC693F" w:rsidRPr="0006063C" w:rsidSect="00034616">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ind w:firstLin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