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4). Third, the map at Tier 1, where triage would actually happen, which is much less comfortable than at Tier 3 (Section 5).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Two screens and one procedure</w:t>
      </w:r>
    </w:p>
    <w:p>
      <w:pPr>
        <w:pStyle w:val="Heading2"/>
      </w:pPr>
      <w:r>
        <w:rPr>
          <w:b/>
          <w:i w:val="0"/>
        </w:rPr>
        <w:t xml:space="preserve">2.1 </w:t>
      </w:r>
      <w:r>
        <w:rPr>
          <w:b w:val="0"/>
          <w:i/>
        </w:rPr>
        <w:t>The consortium's Tier-1 screen, rebuilt</w:t>
      </w:r>
    </w:p>
    <w:p>
      <w:pPr>
        <w:jc w:val="both"/>
      </w:pPr>
      <w:r>
        <w:rPr>
          <w:b w:val="0"/>
          <w:i w:val="0"/>
        </w:rPr>
        <w:t>The screen of ref.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NH₃ and CH₄ reach their values within five points when the noise is halved, CO₂ does not at any noise level because its 4.3 µm band is diluted within the single 3.9–7.8 µm Tier-1 point of our layout. The deviations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 [42] with the line-list sources of ref.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K_zz overtakes the CO–CH₄ conversion timescale of ref. [18] on a Guillot profile anchored to the isothermal temperature, for K_zz from 10⁷ to 10¹¹ cm² s⁻¹; HCN and C₂H₂ added at their FastChem equilibrium or quenched abundances (Section 4); and compounds of spots, haze and noise on the same planet. Cloud decks at 10² and 10 Pa, haze at 10¹⁰ m⁻³, faculae and the two non-native codes lie outside anything the randomized training grid contains and are tagged as such.</w:t>
      </w:r>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The map</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1 and Figure 1 give the map at Tier 3, and it has three regions.</w:t>
      </w:r>
    </w:p>
    <w:p>
      <w:pPr>
        <w:jc w:val="left"/>
      </w:pPr>
      <w:r>
        <w:rPr>
          <w:b/>
          <w:i w:val="0"/>
        </w:rPr>
        <w:t>Table 1.</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K_zz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are the subject of Section 4.</w:t>
      </w:r>
    </w:p>
    <w:p>
      <w:pPr>
        <w:pStyle w:val="Heading1"/>
      </w:pPr>
      <w:r>
        <w:rPr>
          <w:b/>
          <w:i w:val="0"/>
        </w:rPr>
        <w:t xml:space="preserve">4. </w:t>
      </w:r>
      <w:r>
        <w:rPr>
          <w:b/>
          <w:i w:val="0"/>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1"/>
      </w:pPr>
      <w:r>
        <w:rPr>
          <w:b/>
          <w:i w:val="0"/>
        </w:rPr>
        <w:t xml:space="preserve">5. </w:t>
      </w:r>
      <w:r>
        <w:rPr>
          <w:b/>
          <w:i w:val="0"/>
        </w:rPr>
        <w:t>Tier 1</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 is a Tier-3 statement. Triage would happen at Tier 1, on seven numbers per planet, so the map was computed again there (Table 2, Figure 4a) with a screen of the same design trained on the seven-point spectra: 88.7 % on clean spectra, 84.1 % at the tier's SNR of seven.</w:t>
      </w:r>
    </w:p>
    <w:p>
      <w:pPr>
        <w:jc w:val="left"/>
      </w:pPr>
      <w:r>
        <w:rPr>
          <w:b/>
          <w:i w:val="0"/>
        </w:rPr>
        <w:t>Table 2.</w:t>
      </w:r>
      <w:r>
        <w:rPr>
          <w:b w:val="0"/>
          <w:i w:val="0"/>
        </w:rPr>
        <w:t xml:space="preserve"> The map at Tier 1 (seven points). Columns as in Table 1;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1"/>
      </w:pPr>
      <w:r>
        <w:rPr>
          <w:b/>
          <w:i w:val="0"/>
        </w:rPr>
        <w:t xml:space="preserve">6. </w:t>
      </w:r>
      <w:r>
        <w:rPr>
          <w:b/>
          <w:i w:val="0"/>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1"/>
      </w:pPr>
      <w:r>
        <w:rPr>
          <w:b/>
          <w:i w:val="0"/>
        </w:rPr>
        <w:t xml:space="preserve">7. </w:t>
      </w:r>
      <w:r>
        <w:rPr>
          <w:b/>
          <w:i w:val="0"/>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at half the requirement noise NH₃ 82 and CH₄ 78.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w:t>
      </w:r>
    </w:p>
    <w:p>
      <w:pPr>
        <w:pStyle w:val="Heading1"/>
      </w:pPr>
      <w:r>
        <w:rPr>
          <w:b/>
          <w:i w:val="0"/>
        </w:rPr>
        <w:t>Appendix B. Full envelope tables</w:t>
      </w:r>
    </w:p>
    <w:p>
      <w:pPr>
        <w:jc w:val="both"/>
      </w:pPr>
      <w:r>
        <w:rPr>
          <w:b w:val="0"/>
          <w:i w:val="0"/>
        </w:rPr>
        <w:t xml:space="preserve">The complete tables — every mismatch at both binnings, every decline rule, coverage, accepted accuracy, credit, error and shift AUROC, ceilings, held-out transfer — are the files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 xml:space="preserve">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K_zz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et al. (2018). A chemical survey of exoplanets with ARIEL. Experimental Astronomy, 46, 135–209. https://doi.org/10.1007/s10686-018-9598-x</w:t>
      </w:r>
    </w:p>
    <w:p>
      <w:pPr>
        <w:ind w:left="432"/>
      </w:pPr>
      <w:r>
        <w:t xml:space="preserve">2. </w:t>
      </w:r>
      <w:r>
        <w:rPr>
          <w:b w:val="0"/>
          <w:i w:val="0"/>
        </w:rPr>
        <w:t>Edwards, B., Mugnai, L., Tinetti, G., Pascale, E., &amp; Sarkar, S. (2019). An updated study of potential targets for Ariel. The Astronomical Journal, 157, 242. https://doi.org/10.3847/1538-3881/ab1cb9</w:t>
      </w:r>
    </w:p>
    <w:p>
      <w:pPr>
        <w:ind w:left="432"/>
      </w:pPr>
      <w:r>
        <w:t xml:space="preserve">3. </w:t>
      </w:r>
      <w:r>
        <w:rPr>
          <w:b w:val="0"/>
          <w:i w:val="0"/>
        </w:rPr>
        <w:t>Edwards, B., &amp; Tinetti, G. (2022). The Ariel target list: the impact of TESS and the potential for characterizing multiple planets within a system. The Astronomical Journal, 164, 15. https://doi.org/10.3847/1538-3881/ac6bf9</w:t>
      </w:r>
    </w:p>
    <w:p>
      <w:pPr>
        <w:ind w:left="432"/>
      </w:pPr>
      <w:r>
        <w:t xml:space="preserve">4. </w:t>
      </w:r>
      <w:r>
        <w:rPr>
          <w:b w:val="0"/>
          <w:i w:val="0"/>
        </w:rPr>
        <w:t>Mugnai, L. V., Pascale, E., Edwards, B., Papageorgiou, A., &amp; Sarkar, S. (2020). ArielRad: the Ariel radiometric model. Experimental Astronomy, 50, 303–328. https://doi.org/10.1007/s10686-020-09676-7</w:t>
      </w:r>
    </w:p>
    <w:p>
      <w:pPr>
        <w:ind w:left="432"/>
      </w:pPr>
      <w:r>
        <w:t xml:space="preserve">5. </w:t>
      </w:r>
      <w:r>
        <w:rPr>
          <w:b w:val="0"/>
          <w:i w:val="0"/>
        </w:rPr>
        <w:t>Radica, M., et al. (2026). On the information content of Ariel transmission spectra: reassessing the tier system. arXiv:2604.07598.</w:t>
      </w:r>
    </w:p>
    <w:p>
      <w:pPr>
        <w:ind w:left="432"/>
      </w:pPr>
      <w:r>
        <w:t xml:space="preserve">6. </w:t>
      </w:r>
      <w:r>
        <w:rPr>
          <w:b w:val="0"/>
          <w:i w:val="0"/>
        </w:rPr>
        <w:t>Mugnai, L. V., Al-Refaie, A., Bocchieri, A., Changeat, Q., Pascale, E., &amp; Tinetti, G. (2021). Alfnoor: assessing the information content of Ariel's low-resolution spectra with planetary population studies. The Astronomical Journal, 162, 288. https://doi.org/10.3847/1538-3881/ac2e92</w:t>
      </w:r>
    </w:p>
    <w:p>
      <w:pPr>
        <w:ind w:left="432"/>
      </w:pPr>
      <w:r>
        <w:t xml:space="preserve">7. </w:t>
      </w:r>
      <w:r>
        <w:rPr>
          <w:b w:val="0"/>
          <w:i w:val="0"/>
        </w:rPr>
        <w:t>Changeat, Q., &amp; Yip, K. H. (2023). ESA-Ariel Data Challenge NeurIPS 2022: introduction to exo-atmospheric studies and presentation of the Atmospheric Big Challenge (ABC) database. RAS Techniques and Instruments, 2, 45–61. https://doi.org/10.1093/rasti/rzad001</w:t>
      </w:r>
    </w:p>
    <w:p>
      <w:pPr>
        <w:ind w:left="432"/>
      </w:pPr>
      <w:r>
        <w:t xml:space="preserve">8. </w:t>
      </w:r>
      <w:r>
        <w:rPr>
          <w:b w:val="0"/>
          <w:i w:val="0"/>
        </w:rPr>
        <w:t>Aubin, M., et al. (2023). Simulation-based inference for exoplanet atmospheric retrieval: insights from winning the Ariel Data Challenge 2023 using normalizing flows. arXiv:2309.09337.</w:t>
      </w:r>
    </w:p>
    <w:p>
      <w:pPr>
        <w:ind w:left="432"/>
      </w:pPr>
      <w:r>
        <w:t xml:space="preserve">9. </w:t>
      </w:r>
      <w:r>
        <w:rPr>
          <w:b w:val="0"/>
          <w:i w:val="0"/>
        </w:rPr>
        <w:t>Yip, K. H., et al. (2023). Lessons learned from the 1st Ariel machine learning challenge. Proceedings of Machine Learning Research, 220.</w:t>
      </w:r>
    </w:p>
    <w:p>
      <w:pPr>
        <w:ind w:left="432"/>
      </w:pPr>
      <w:r>
        <w:t xml:space="preserve">10. </w:t>
      </w:r>
      <w:r>
        <w:rPr>
          <w:b w:val="0"/>
          <w:i w:val="0"/>
        </w:rPr>
        <w:t>Yakubu, M., &amp; Jude, V. O. (2026). Machine learning and deep learning for exoplanet detection and atmospheric characterization with JWST and the upcoming Ariel mission. arXiv:2606.23766.</w:t>
      </w:r>
    </w:p>
    <w:p>
      <w:pPr>
        <w:ind w:left="432"/>
      </w:pPr>
      <w:r>
        <w:t xml:space="preserve">11. </w:t>
      </w:r>
      <w:r>
        <w:rPr>
          <w:b w:val="0"/>
          <w:i w:val="0"/>
        </w:rPr>
        <w:t>Ardévol Martínez, F., Min, M., Kamp, I., &amp; Palmer, P. I. (2022). Convolutional neural networks as an alternative to Bayesian retrievals for interpreting exoplanet transmission spectra. Astronomy &amp; Astrophysics, 662, A108. https://doi.org/10.1051/0004-6361/202142976</w:t>
      </w:r>
    </w:p>
    <w:p>
      <w:pPr>
        <w:ind w:left="432"/>
      </w:pPr>
      <w:r>
        <w:t xml:space="preserve">12. </w:t>
      </w:r>
      <w:r>
        <w:rPr>
          <w:b w:val="0"/>
          <w:i w:val="0"/>
        </w:rPr>
        <w:t>Márquez-Neila, P., Fisher, C., Sznitman, R., &amp; Heng, K. (2018). Supervised machine learning for analysing spectra of exoplanetary atmospheres. Nature Astronomy, 2, 719–724. https://doi.org/10.1038/s41550-018-0504-2</w:t>
      </w:r>
    </w:p>
    <w:p>
      <w:pPr>
        <w:ind w:left="432"/>
      </w:pPr>
      <w:r>
        <w:t xml:space="preserve">13. </w:t>
      </w:r>
      <w:r>
        <w:rPr>
          <w:b w:val="0"/>
          <w:i w:val="0"/>
        </w:rPr>
        <w:t>Nixon, M. C., &amp; Madhusudhan, N. (2020). Assessment of supervised machine learning for atmospheric retrieval of exoplanets. Monthly Notices of the Royal Astronomical Society, 496, 269–281. https://doi.org/10.1093/mnras/staa1150</w:t>
      </w:r>
    </w:p>
    <w:p>
      <w:pPr>
        <w:ind w:left="432"/>
      </w:pPr>
      <w:r>
        <w:t xml:space="preserve">14. </w:t>
      </w:r>
      <w:r>
        <w:rPr>
          <w:b w:val="0"/>
          <w:i w:val="0"/>
        </w:rPr>
        <w:t>Vasist, M., Rozet, F., Absil, O., Mollière, P., Nasedkin, E., &amp; Louppe, G. (2023). Neural posterior estimation for exoplanetary atmospheric retrieval. Astronomy &amp; Astrophysics, 672, A147. https://doi.org/10.1051/0004-6361/202245263</w:t>
      </w:r>
    </w:p>
    <w:p>
      <w:pPr>
        <w:ind w:left="432"/>
      </w:pPr>
      <w:r>
        <w:t xml:space="preserve">15. </w:t>
      </w:r>
      <w:r>
        <w:rPr>
          <w:b w:val="0"/>
          <w:i w:val="0"/>
        </w:rPr>
        <w:t>Gebhard, T. D., et al. (2025). Flow matching for atmospheric retrieval of exoplanets: where reliability meets adaptive noise levels. Astronomy &amp; Astrophysics, 693, A42. https://doi.org/10.1051/0004-6361/202451861</w:t>
      </w:r>
    </w:p>
    <w:p>
      <w:pPr>
        <w:ind w:left="432"/>
      </w:pPr>
      <w:r>
        <w:t xml:space="preserve">16. </w:t>
      </w:r>
      <w:r>
        <w:rPr>
          <w:b w:val="0"/>
          <w:i w:val="0"/>
        </w:rPr>
        <w:t>Madhusudhan, N. (2012). C/O ratio as a dimension for characterizing exoplanetary atmospheres. The Astrophysical Journal, 758, 36. https://doi.org/10.1088/0004-637X/758/1/36</w:t>
      </w:r>
    </w:p>
    <w:p>
      <w:pPr>
        <w:ind w:left="432"/>
      </w:pPr>
      <w:r>
        <w:t xml:space="preserve">17. </w:t>
      </w:r>
      <w:r>
        <w:rPr>
          <w:b w:val="0"/>
          <w:i w:val="0"/>
        </w:rPr>
        <w:t>Moses, J. I., Madhusudhan, N., Visscher, C., &amp; Freedman, R. S. (2013). Chemical consequences of the C/O ratio on hot Jupiters: examples from WASP-12b, CoRoT-2b, XO-1b, and HD 189733b. The Astrophysical Journal, 763, 25. https://doi.org/10.1088/0004-637X/763/1/25</w:t>
      </w:r>
    </w:p>
    <w:p>
      <w:pPr>
        <w:ind w:left="432"/>
      </w:pPr>
      <w:r>
        <w:t xml:space="preserve">18. </w:t>
      </w:r>
      <w:r>
        <w:rPr>
          <w:b w:val="0"/>
          <w:i w:val="0"/>
        </w:rPr>
        <w:t>Zahnle, K. J., &amp; Marley, M. S. (2014). Methane, carbon monoxide, and ammonia in brown dwarfs and self-luminous giant planets. The Astrophysical Journal, 797, 41. https://doi.org/10.1088/0004-637X/797/1/41</w:t>
      </w:r>
    </w:p>
    <w:p>
      <w:pPr>
        <w:ind w:left="432"/>
      </w:pPr>
      <w:r>
        <w:t xml:space="preserve">19. </w:t>
      </w:r>
      <w:r>
        <w:rPr>
          <w:b w:val="0"/>
          <w:i w:val="0"/>
        </w:rPr>
        <w:t>Stock, J. W., Kitzmann, D., Patzer, A. B. C., &amp; Sedlmayr, E. (2018). FastChem: a computer program for efficient complex chemical equilibrium calculations in the neutral/ionized gas phase with applications to stellar and planetary atmospheres. Monthly Notices of the Royal Astronomical Society, 479, 865–874. https://doi.org/10.1093/mnras/sty1531</w:t>
      </w:r>
    </w:p>
    <w:p>
      <w:pPr>
        <w:ind w:left="432"/>
      </w:pPr>
      <w:r>
        <w:t xml:space="preserve">20. </w:t>
      </w:r>
      <w:r>
        <w:rPr>
          <w:b w:val="0"/>
          <w:i w:val="0"/>
        </w:rPr>
        <w:t>Kawashima, Y., &amp; Min, M. (2021). Implementation of disequilibrium chemistry to spectral retrieval code ARCiS and application to 16 exoplanet transmission spectra. Astronomy &amp; Astrophysics, 656, A90. https://doi.org/10.1051/0004-6361/202141548</w:t>
      </w:r>
    </w:p>
    <w:p>
      <w:pPr>
        <w:ind w:left="432"/>
      </w:pPr>
      <w:r>
        <w:t xml:space="preserve">21. </w:t>
      </w:r>
      <w:r>
        <w:rPr>
          <w:b w:val="0"/>
          <w:i w:val="0"/>
        </w:rPr>
        <w:t>Rackham, B. V., Apai, D., &amp; Giampapa, M. S. (2018). The transit light source effect: false spectral features and incorrect densities for M-dwarf transiting planets. The Astrophysical Journal, 853, 122. https://doi.org/10.3847/1538-4357/aaa08c</w:t>
      </w:r>
    </w:p>
    <w:p>
      <w:pPr>
        <w:ind w:left="432"/>
      </w:pPr>
      <w:r>
        <w:t xml:space="preserve">22. </w:t>
      </w:r>
      <w:r>
        <w:rPr>
          <w:b w:val="0"/>
          <w:i w:val="0"/>
        </w:rPr>
        <w:t>Lee, J.-M., Heng, K., &amp; Irwin, P. G. J. (2013). Atmospheric retrieval analysis of the directly imaged exoplanet HR 8799b. The Astrophysical Journal, 778, 97. https://doi.org/10.1088/0004-637X/778/2/97</w:t>
      </w:r>
    </w:p>
    <w:p>
      <w:pPr>
        <w:ind w:left="432"/>
      </w:pPr>
      <w:r>
        <w:t xml:space="preserve">23. </w:t>
      </w:r>
      <w:r>
        <w:rPr>
          <w:b w:val="0"/>
          <w:i w:val="0"/>
        </w:rPr>
        <w:t>Al-Refaie, A. F., Changeat, Q., Waldmann, I. P., &amp; Tinetti, G. (2021). TauREx 3: a fast, dynamic, and extendable framework for retrievals. The Astrophysical Journal, 917, 37. https://doi.org/10.3847/1538-4357/ac0252</w:t>
      </w:r>
    </w:p>
    <w:p>
      <w:pPr>
        <w:ind w:left="432"/>
      </w:pPr>
      <w:r>
        <w:t xml:space="preserve">24. </w:t>
      </w:r>
      <w:r>
        <w:rPr>
          <w:b w:val="0"/>
          <w:i w:val="0"/>
        </w:rPr>
        <w:t>Duque-Castaño, D. S., Zuluaga, J. I., &amp; Flor-Torres, L. (2025). Machine-assisted classification of potential biosignatures in Earth-like exoplanets using low signal-to-noise ratio transmission spectra. Monthly Notices of the Royal Astronomical Society, 539, 1528–1552.</w:t>
      </w:r>
    </w:p>
    <w:p>
      <w:pPr>
        <w:ind w:left="432"/>
      </w:pPr>
      <w:r>
        <w:t xml:space="preserve">25. </w:t>
      </w:r>
      <w:r>
        <w:rPr>
          <w:b w:val="0"/>
          <w:i w:val="0"/>
        </w:rPr>
        <w:t>Kempton, E. M.-R., Lupu, R., Owusu-Asare, A., Slough, P., &amp; Cale, B. (2017). Exo-Transmit: an open-source code for calculating transmission spectra for exoplanet atmospheres of varied composition. Publications of the Astronomical Society of the Pacific, 129, 044402. https://doi.org/10.1088/1538-3873/aa61ef</w:t>
      </w:r>
    </w:p>
    <w:p>
      <w:pPr>
        <w:ind w:left="432"/>
      </w:pPr>
      <w:r>
        <w:t xml:space="preserve">26. </w:t>
      </w:r>
      <w:r>
        <w:rPr>
          <w:b w:val="0"/>
          <w:i w:val="0"/>
        </w:rPr>
        <w:t>Chubb, K. L., et al. (2021). The ExoMolOP database: cross sections and k-tables for molecules of interest in high-temperature exoplanet atmospheres. Astronomy &amp; Astrophysics, 646, A21. https://doi.org/10.1051/0004-6361/202038350</w:t>
      </w:r>
    </w:p>
    <w:p>
      <w:pPr>
        <w:ind w:left="432"/>
      </w:pPr>
      <w:r>
        <w:t xml:space="preserve">27. </w:t>
      </w:r>
      <w:r>
        <w:rPr>
          <w:b w:val="0"/>
          <w:i w:val="0"/>
        </w:rPr>
        <w:t>Mugnai, L. V., Bocchieri, A., Pascale, E., Lorenzani, A., &amp; Papageorgiou, A. (2025). ExoSim 2: the new exoplanet observation simulator applied to the Ariel space mission. Experimental Astronomy, 59, 9. https://doi.org/10.1007/s10686-024-09976-2</w:t>
      </w:r>
    </w:p>
    <w:p>
      <w:pPr>
        <w:ind w:left="432"/>
      </w:pPr>
      <w:r>
        <w:t xml:space="preserve">28. </w:t>
      </w:r>
      <w:r>
        <w:rPr>
          <w:b w:val="0"/>
          <w:i w:val="0"/>
        </w:rPr>
        <w:t>Tobin, J., Fong, R., Ray, A., Schneider, J., Zaremba, W., &amp; Abbeel, P. (2017). Domain randomization for transferring deep neural networks from simulation to the real world. IEEE/RSJ International Conference on Intelligent Robots and Systems. arXiv:1703.06907.</w:t>
      </w:r>
    </w:p>
    <w:p>
      <w:pPr>
        <w:ind w:left="432"/>
      </w:pPr>
      <w:r>
        <w:t xml:space="preserve">29. </w:t>
      </w:r>
      <w:r>
        <w:rPr>
          <w:b w:val="0"/>
          <w:i w:val="0"/>
        </w:rPr>
        <w:t>Bishop, C. M. (1995). Training with noise is equivalent to Tikhonov regularization. Neural Computation, 7, 108–116. https://doi.org/10.1162/neco.1995.7.1.108</w:t>
      </w:r>
    </w:p>
    <w:p>
      <w:pPr>
        <w:ind w:left="432"/>
      </w:pPr>
      <w:r>
        <w:t xml:space="preserve">30. </w:t>
      </w:r>
      <w:r>
        <w:rPr>
          <w:b w:val="0"/>
          <w:i w:val="0"/>
        </w:rPr>
        <w:t>Hendrycks, D., &amp; Gimpel, K. (2017). A baseline for detecting misclassified and out-of-distribution examples in neural networks. International Conference on Learning Representations. arXiv:1610.02136.</w:t>
      </w:r>
    </w:p>
    <w:p>
      <w:pPr>
        <w:ind w:left="432"/>
      </w:pPr>
      <w:r>
        <w:t xml:space="preserve">31. </w:t>
      </w:r>
      <w:r>
        <w:rPr>
          <w:b w:val="0"/>
          <w:i w:val="0"/>
        </w:rPr>
        <w:t>Lee, K., Lee, K., Lee, H., &amp; Shin, J. (2018). A simple unified framework for detecting out-of-distribution samples and adversarial attacks. Advances in Neural Information Processing Systems, 31. arXiv:1807.03888.</w:t>
      </w:r>
    </w:p>
    <w:p>
      <w:pPr>
        <w:ind w:left="432"/>
      </w:pPr>
      <w:r>
        <w:t xml:space="preserve">32. </w:t>
      </w:r>
      <w:r>
        <w:rPr>
          <w:b w:val="0"/>
          <w:i w:val="0"/>
        </w:rPr>
        <w:t>Sun, Y., Ming, Y., Zhu, X., &amp; Li, Y. (2022). Out-of-distribution detection with deep nearest neighbors. International Conference on Machine Learning. arXiv:2204.06507.</w:t>
      </w:r>
    </w:p>
    <w:p>
      <w:pPr>
        <w:ind w:left="432"/>
      </w:pPr>
      <w:r>
        <w:t xml:space="preserve">33. </w:t>
      </w:r>
      <w:r>
        <w:rPr>
          <w:b w:val="0"/>
          <w:i w:val="0"/>
        </w:rPr>
        <w:t>Lakshminarayanan, B., Pritzel, A., &amp; Blundell, C. (2017). Simple and scalable predictive uncertainty estimation using deep ensembles. Advances in Neural Information Processing Systems, 30. arXiv:1612.01474.</w:t>
      </w:r>
    </w:p>
    <w:p>
      <w:pPr>
        <w:ind w:left="432"/>
      </w:pPr>
      <w:r>
        <w:t xml:space="preserve">34. </w:t>
      </w:r>
      <w:r>
        <w:rPr>
          <w:b w:val="0"/>
          <w:i w:val="0"/>
        </w:rPr>
        <w:t>Geifman, Y., &amp; El-Yaniv, R. (2017). Selective classification for deep neural networks. Advances in Neural Information Processing Systems, 30. arXiv:1705.08500.</w:t>
      </w:r>
    </w:p>
    <w:p>
      <w:pPr>
        <w:ind w:left="432"/>
      </w:pPr>
      <w:r>
        <w:t xml:space="preserve">35. </w:t>
      </w:r>
      <w:r>
        <w:rPr>
          <w:b w:val="0"/>
          <w:i w:val="0"/>
        </w:rPr>
        <w:t>Jaeger, P. F., Lüth, C. T., Klein, L., &amp; Bungert, T. J. (2023). A call to reflect on evaluation practices for failure detection in image classification. International Conference on Learning Representations. arXiv:2211.15259.</w:t>
      </w:r>
    </w:p>
    <w:p>
      <w:pPr>
        <w:ind w:left="432"/>
      </w:pPr>
      <w:r>
        <w:t xml:space="preserve">36. </w:t>
      </w:r>
      <w:r>
        <w:rPr>
          <w:b w:val="0"/>
          <w:i w:val="0"/>
        </w:rPr>
        <w:t>Angelopoulos, A. N., &amp; Bates, S. (2021). A gentle introduction to conformal prediction and distribution-free uncertainty quantification. arXiv:2107.07511.</w:t>
      </w:r>
    </w:p>
    <w:p>
      <w:pPr>
        <w:ind w:left="432"/>
      </w:pPr>
      <w:r>
        <w:t xml:space="preserve">37. </w:t>
      </w:r>
      <w:r>
        <w:rPr>
          <w:b w:val="0"/>
          <w:i w:val="0"/>
        </w:rPr>
        <w:t>Schmitt, M., Bürkner, P.-C., Köthe, U., &amp; Radev, S. T. (2021). Detecting model misspecification in amortized Bayesian inference with neural networks. arXiv:2112.08866.</w:t>
      </w:r>
    </w:p>
    <w:p>
      <w:pPr>
        <w:ind w:left="432"/>
      </w:pPr>
      <w:r>
        <w:t xml:space="preserve">38. </w:t>
      </w:r>
      <w:r>
        <w:rPr>
          <w:b w:val="0"/>
          <w:i w:val="0"/>
        </w:rPr>
        <w:t>Cannon, P., Ward, D., &amp; Schmon, S. M. (2022). Investigating the impact of model misspecification in neural simulation-based inference. arXiv:2209.01845.</w:t>
      </w:r>
    </w:p>
    <w:p>
      <w:pPr>
        <w:ind w:left="432"/>
      </w:pPr>
      <w:r>
        <w:t xml:space="preserve">39. </w:t>
      </w:r>
      <w:r>
        <w:rPr>
          <w:b w:val="0"/>
          <w:i w:val="0"/>
        </w:rPr>
        <w:t>Barstow, J. K., Changeat, Q., Garland, R., Line, M. R., Rocchetto, M., &amp; Waldmann, I. P. (2020). A comparison of exoplanet spectroscopic retrieval tools. Monthly Notices of the Royal Astronomical Society, 493, 4884–4909. https://doi.org/10.1093/mnras/staa548</w:t>
      </w:r>
    </w:p>
    <w:p>
      <w:pPr>
        <w:ind w:left="432"/>
      </w:pPr>
      <w:r>
        <w:t xml:space="preserve">40. </w:t>
      </w:r>
      <w:r>
        <w:rPr>
          <w:b w:val="0"/>
          <w:i w:val="0"/>
        </w:rPr>
        <w:t>Chen, S., Dobriban, E., &amp; Lee, J. H. (2020). A group-theoretic framework for data augmentation. Journal of Machine Learning Research, 21(245), 1–71.</w:t>
      </w:r>
    </w:p>
    <w:p>
      <w:pPr>
        <w:ind w:left="432"/>
      </w:pPr>
      <w:r>
        <w:t xml:space="preserve">41. </w:t>
      </w:r>
      <w:r>
        <w:rPr>
          <w:b w:val="0"/>
          <w:i w:val="0"/>
        </w:rPr>
        <w:t>Hendrycks, D., &amp; Dietterich, T. (2019). Benchmarking neural network robustness to common corruptions and perturbations. International Conference on Learning Representations. arXiv:1903.12261.</w:t>
      </w:r>
    </w:p>
    <w:p>
      <w:pPr>
        <w:ind w:left="432"/>
      </w:pPr>
      <w:r>
        <w:t xml:space="preserve">42. </w:t>
      </w:r>
      <w:r>
        <w:rPr>
          <w:b w:val="0"/>
          <w:i w:val="0"/>
        </w:rPr>
        <w:t>Freedman, R. S., Lustig-Yaeger, J., Fortney, J. J., Lupu, R. E., Marley, M. S., &amp; Lodders, K. (2014). Gaseous mean opacities for giant planet and ultracool dwarf atmospheres over a range of metallicities and temperatures. The Astrophysical Journal Supplement Series, 214, 25. https://doi.org/10.1088/0067-0049/214/2/25</w:t>
      </w:r>
    </w:p>
    <w:p>
      <w:pPr>
        <w:ind w:left="432"/>
      </w:pPr>
      <w:r>
        <w:t xml:space="preserve">43. </w:t>
      </w:r>
      <w:r>
        <w:rPr>
          <w:b w:val="0"/>
          <w:i w:val="0"/>
        </w:rPr>
        <w:t>Lupu, R. E., et al. (2014). The atmospheres of Earthlike planets after giant impact events. The Astrophysical Journal, 784, 27. https://doi.org/10.1088/0004-637X/784/1/27</w:t>
      </w:r>
    </w:p>
    <w:p>
      <w:pPr>
        <w:ind w:left="432"/>
      </w:pPr>
      <w:r>
        <w:t xml:space="preserve">44. </w:t>
      </w:r>
      <w:r>
        <w:rPr>
          <w:b w:val="0"/>
          <w:i w:val="0"/>
        </w:rPr>
        <w:t>Tibshirani, R. J., Foygel Barber, R., Candès, E. J., &amp; Ramdas, A. (2019). Conformal prediction under covariate shift. Advances in Neural Information Processing Systems, 32. arXiv:1904.06019.</w:t>
      </w:r>
    </w:p>
    <w:p>
      <w:pPr>
        <w:ind w:left="432"/>
      </w:pPr>
      <w:r>
        <w:t xml:space="preserve">45. </w:t>
      </w:r>
      <w:r>
        <w:rPr>
          <w:b w:val="0"/>
          <w:i w:val="0"/>
        </w:rPr>
        <w:t>Mugnai, L. V., et al. (2026). A public dataset of Ariel simulated observations for developing exoplanetary atmosphere data reduction pipelines. arXiv:2605.03719.</w:t>
      </w:r>
    </w:p>
    <w:p>
      <w:pPr>
        <w:ind w:left="432"/>
      </w:pPr>
      <w:r>
        <w:t xml:space="preserve">46. </w:t>
      </w:r>
      <w:r>
        <w:rPr>
          <w:b w:val="0"/>
          <w:i w:val="0"/>
        </w:rPr>
        <w:t>Chen, T., &amp; Guestrin, C. (2016). XGBoost: a scalable tree boosting system. Proceedings of the 22nd ACM SIGKDD International Conference on Knowledge Discovery and Data Mining, 785–794. https://doi.org/10.1145/2939672.2939785</w:t>
      </w:r>
    </w:p>
    <w:p>
      <w:pPr>
        <w:ind w:left="432"/>
      </w:pPr>
      <w:r>
        <w:t xml:space="preserve">47. </w:t>
      </w:r>
      <w:r>
        <w:rPr>
          <w:b w:val="0"/>
          <w:i w:val="0"/>
        </w:rPr>
        <w:t>Pedregosa, F., et al. (2011). Scikit-learn: machine learning in Python. Journal of Machine Learning Research, 12, 2825–2830.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