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3588F" w14:textId="432DDBCD" w:rsidR="00E62F23" w:rsidRPr="00897899" w:rsidRDefault="007E073E" w:rsidP="007E073E">
      <w:pPr>
        <w:jc w:val="center"/>
        <w:rPr>
          <w:rFonts w:ascii="Kaiti TC" w:eastAsia="Kaiti TC" w:hAnsi="Kaiti TC"/>
          <w:sz w:val="30"/>
          <w:szCs w:val="30"/>
        </w:rPr>
      </w:pPr>
      <w:r w:rsidRPr="00897899">
        <w:rPr>
          <w:rFonts w:ascii="Kaiti TC" w:eastAsia="Kaiti TC" w:hAnsi="Kaiti TC" w:hint="eastAsia"/>
          <w:sz w:val="30"/>
          <w:szCs w:val="30"/>
        </w:rPr>
        <w:t xml:space="preserve">金融創新心得 </w:t>
      </w:r>
      <w:r w:rsidRPr="00897899">
        <w:rPr>
          <w:rFonts w:ascii="Kaiti TC" w:eastAsia="Kaiti TC" w:hAnsi="Kaiti TC"/>
          <w:sz w:val="30"/>
          <w:szCs w:val="30"/>
        </w:rPr>
        <w:t>9/24</w:t>
      </w:r>
    </w:p>
    <w:p w14:paraId="797F7354" w14:textId="553660BC" w:rsidR="007E073E" w:rsidRPr="00897899" w:rsidRDefault="007E073E" w:rsidP="007E073E">
      <w:pPr>
        <w:wordWrap w:val="0"/>
        <w:jc w:val="right"/>
        <w:rPr>
          <w:rFonts w:ascii="Kaiti TC" w:eastAsia="Kaiti TC" w:hAnsi="Kaiti TC"/>
          <w:sz w:val="20"/>
          <w:szCs w:val="20"/>
        </w:rPr>
      </w:pPr>
      <w:r w:rsidRPr="00897899">
        <w:rPr>
          <w:rFonts w:ascii="Times New Roman" w:eastAsia="Kaiti TC" w:hAnsi="Times New Roman" w:cs="Times New Roman"/>
          <w:sz w:val="20"/>
          <w:szCs w:val="20"/>
        </w:rPr>
        <w:t>R09723056</w:t>
      </w:r>
      <w:r w:rsidRPr="00897899">
        <w:rPr>
          <w:rFonts w:ascii="Kaiti TC" w:eastAsia="Kaiti TC" w:hAnsi="Kaiti TC"/>
          <w:sz w:val="20"/>
          <w:szCs w:val="20"/>
        </w:rPr>
        <w:t xml:space="preserve"> </w:t>
      </w:r>
      <w:r w:rsidRPr="00897899">
        <w:rPr>
          <w:rFonts w:ascii="Kaiti TC" w:eastAsia="Kaiti TC" w:hAnsi="Kaiti TC" w:hint="eastAsia"/>
          <w:sz w:val="20"/>
          <w:szCs w:val="20"/>
        </w:rPr>
        <w:t>歐陽秉志</w:t>
      </w:r>
    </w:p>
    <w:p w14:paraId="2229ED2E" w14:textId="57A35FFE" w:rsidR="007E073E" w:rsidRDefault="007E073E" w:rsidP="007E073E">
      <w:pPr>
        <w:ind w:right="100"/>
        <w:rPr>
          <w:rFonts w:ascii="Kaiti TC" w:eastAsia="Kaiti TC" w:hAnsi="Kaiti TC"/>
        </w:rPr>
      </w:pPr>
      <w:r w:rsidRPr="00897899">
        <w:rPr>
          <w:rFonts w:ascii="Kaiti TC" w:eastAsia="Kaiti TC" w:hAnsi="Kaiti TC"/>
        </w:rPr>
        <w:tab/>
      </w:r>
      <w:r w:rsidRPr="00897899">
        <w:rPr>
          <w:rFonts w:ascii="Kaiti TC" w:eastAsia="Kaiti TC" w:hAnsi="Kaiti TC" w:hint="eastAsia"/>
        </w:rPr>
        <w:t>隨著人口結構逐漸老化，預估在</w:t>
      </w:r>
      <w:r w:rsidRPr="003252CC">
        <w:rPr>
          <w:rFonts w:ascii="Times New Roman" w:eastAsia="Kaiti TC" w:hAnsi="Times New Roman" w:cs="Times New Roman"/>
        </w:rPr>
        <w:t>2025</w:t>
      </w:r>
      <w:r w:rsidRPr="00897899">
        <w:rPr>
          <w:rFonts w:ascii="Kaiti TC" w:eastAsia="Kaiti TC" w:hAnsi="Kaiti TC" w:hint="eastAsia"/>
        </w:rPr>
        <w:t>年時臺灣將會邁入高齡化社會，</w:t>
      </w:r>
      <w:r w:rsidR="00897899" w:rsidRPr="00897899">
        <w:rPr>
          <w:rFonts w:ascii="Kaiti TC" w:eastAsia="Kaiti TC" w:hAnsi="Kaiti TC" w:hint="eastAsia"/>
        </w:rPr>
        <w:t>因此，</w:t>
      </w:r>
      <w:r w:rsidR="003252CC">
        <w:rPr>
          <w:rFonts w:ascii="Kaiti TC" w:eastAsia="Kaiti TC" w:hAnsi="Kaiti TC" w:hint="eastAsia"/>
        </w:rPr>
        <w:t>壽險</w:t>
      </w:r>
      <w:r w:rsidR="00897899" w:rsidRPr="00897899">
        <w:rPr>
          <w:rFonts w:ascii="Kaiti TC" w:eastAsia="Kaiti TC" w:hAnsi="Kaiti TC" w:hint="eastAsia"/>
        </w:rPr>
        <w:t>顯然已成為一不可忽視的議題</w:t>
      </w:r>
      <w:r w:rsidR="00897899" w:rsidRPr="00897899">
        <w:rPr>
          <w:rFonts w:ascii="Kaiti TC" w:eastAsia="Kaiti TC" w:hAnsi="Kaiti TC" w:hint="eastAsia"/>
        </w:rPr>
        <w:t>．然而，在現今低利率的時代以及</w:t>
      </w:r>
      <w:r w:rsidR="00897899">
        <w:rPr>
          <w:rFonts w:ascii="Times New Roman" w:hAnsi="Times New Roman" w:cs="Times New Roman"/>
        </w:rPr>
        <w:t>IFRS-17</w:t>
      </w:r>
      <w:r w:rsidR="00897899" w:rsidRPr="00897899">
        <w:rPr>
          <w:rFonts w:ascii="Kaiti TC" w:eastAsia="Kaiti TC" w:hAnsi="Kaiti TC" w:hint="eastAsia"/>
        </w:rPr>
        <w:t>的推動，保險業者</w:t>
      </w:r>
      <w:r w:rsidR="00897899">
        <w:rPr>
          <w:rFonts w:ascii="Kaiti TC" w:eastAsia="Kaiti TC" w:hAnsi="Kaiti TC" w:hint="eastAsia"/>
        </w:rPr>
        <w:t>面臨著調整商品結構的壓力，</w:t>
      </w:r>
      <w:r w:rsidR="003252CC">
        <w:rPr>
          <w:rFonts w:ascii="Kaiti TC" w:eastAsia="Kaiti TC" w:hAnsi="Kaiti TC" w:hint="eastAsia"/>
        </w:rPr>
        <w:t>需透過結合金融科技的發展，以打破傳統金融商品的侷限．</w:t>
      </w:r>
    </w:p>
    <w:p w14:paraId="12CCA084" w14:textId="00683516" w:rsidR="003252CC" w:rsidRDefault="003252CC" w:rsidP="003252CC">
      <w:pPr>
        <w:pStyle w:val="Web"/>
        <w:ind w:firstLine="380"/>
        <w:rPr>
          <w:rFonts w:ascii="Kaiti TC" w:eastAsia="Kaiti TC" w:hAnsi="Kaiti TC"/>
        </w:rPr>
      </w:pPr>
      <w:r>
        <w:rPr>
          <w:rFonts w:ascii="Kaiti TC" w:eastAsia="Kaiti TC" w:hAnsi="Kaiti TC"/>
        </w:rPr>
        <w:tab/>
      </w:r>
      <w:r>
        <w:rPr>
          <w:rFonts w:ascii="Kaiti TC" w:eastAsia="Kaiti TC" w:hAnsi="Kaiti TC" w:hint="eastAsia"/>
        </w:rPr>
        <w:t>而在演講當中，提到了</w:t>
      </w:r>
      <w:r>
        <w:rPr>
          <w:rFonts w:ascii="Times New Roman" w:eastAsia="Kaiti TC" w:hAnsi="Times New Roman" w:cs="Times New Roman" w:hint="cs"/>
        </w:rPr>
        <w:t>F</w:t>
      </w:r>
      <w:r>
        <w:rPr>
          <w:rFonts w:ascii="Times New Roman" w:eastAsia="Kaiti TC" w:hAnsi="Times New Roman" w:cs="Times New Roman"/>
        </w:rPr>
        <w:t>intech</w:t>
      </w:r>
      <w:r>
        <w:rPr>
          <w:rFonts w:ascii="Times New Roman" w:eastAsia="Kaiti TC" w:hAnsi="Times New Roman" w:cs="Times New Roman" w:hint="eastAsia"/>
        </w:rPr>
        <w:t>的主要四項技術範疇：區塊鏈、大數據、</w:t>
      </w:r>
      <w:r>
        <w:rPr>
          <w:rFonts w:ascii="Times New Roman" w:eastAsia="Kaiti TC" w:hAnsi="Times New Roman" w:cs="Times New Roman"/>
        </w:rPr>
        <w:t>AI</w:t>
      </w:r>
      <w:r>
        <w:rPr>
          <w:rFonts w:ascii="Times New Roman" w:eastAsia="Kaiti TC" w:hAnsi="Times New Roman" w:cs="Times New Roman" w:hint="eastAsia"/>
        </w:rPr>
        <w:t>以及物聯網，</w:t>
      </w:r>
      <w:r w:rsidRPr="003252CC">
        <w:rPr>
          <w:rFonts w:ascii="Kaiti TC" w:eastAsia="Kaiti TC" w:hAnsi="Kaiti TC" w:hint="eastAsia"/>
        </w:rPr>
        <w:t xml:space="preserve">根據 </w:t>
      </w:r>
      <w:r w:rsidRPr="003252CC">
        <w:rPr>
          <w:rFonts w:ascii="Times New Roman" w:eastAsia="Kaiti TC" w:hAnsi="Times New Roman" w:cs="Times New Roman"/>
        </w:rPr>
        <w:t>2016</w:t>
      </w:r>
      <w:r w:rsidRPr="003252CC">
        <w:rPr>
          <w:rFonts w:ascii="Kaiti TC" w:eastAsia="Kaiti TC" w:hAnsi="Kaiti TC" w:cs="Times New Roman"/>
        </w:rPr>
        <w:t xml:space="preserve"> </w:t>
      </w:r>
      <w:r w:rsidRPr="003252CC">
        <w:rPr>
          <w:rFonts w:ascii="Kaiti TC" w:eastAsia="Kaiti TC" w:hAnsi="Kaiti TC" w:hint="eastAsia"/>
        </w:rPr>
        <w:t>資誠全球保險科技調查報告以及</w:t>
      </w:r>
      <w:r w:rsidRPr="003252CC">
        <w:rPr>
          <w:rFonts w:ascii="Times New Roman" w:eastAsia="Kaiti TC" w:hAnsi="Times New Roman" w:cs="Times New Roman"/>
        </w:rPr>
        <w:t>KPMG Fintech 100</w:t>
      </w:r>
      <w:r w:rsidRPr="003252CC">
        <w:rPr>
          <w:rFonts w:ascii="Kaiti TC" w:eastAsia="Kaiti TC" w:hAnsi="Kaiti TC" w:hint="eastAsia"/>
        </w:rPr>
        <w:t>報告中可發現以下幾</w:t>
      </w:r>
      <w:r>
        <w:rPr>
          <w:rFonts w:ascii="Kaiti TC" w:eastAsia="Kaiti TC" w:hAnsi="Kaiti TC" w:hint="eastAsia"/>
        </w:rPr>
        <w:t>點：</w:t>
      </w:r>
    </w:p>
    <w:p w14:paraId="4B37189B" w14:textId="0745D463" w:rsidR="003252CC" w:rsidRDefault="003252CC" w:rsidP="003252CC">
      <w:pPr>
        <w:pStyle w:val="Web"/>
        <w:rPr>
          <w:rFonts w:ascii="Kaiti TC" w:eastAsia="Kaiti TC" w:hAnsi="Kaiti TC" w:cs="Times New Roman" w:hint="eastAsia"/>
        </w:rPr>
      </w:pPr>
      <w:r>
        <w:rPr>
          <w:rFonts w:ascii="Times New Roman" w:eastAsia="Kaiti TC" w:hAnsi="Times New Roman" w:cs="Times New Roman" w:hint="eastAsia"/>
        </w:rPr>
        <w:t>ㄧ、</w:t>
      </w:r>
      <w:r w:rsidRPr="003252CC">
        <w:rPr>
          <w:rFonts w:ascii="Times New Roman" w:eastAsia="Kaiti TC" w:hAnsi="Times New Roman" w:cs="Times New Roman" w:hint="eastAsia"/>
        </w:rPr>
        <w:t>2</w:t>
      </w:r>
      <w:r w:rsidRPr="003252CC">
        <w:rPr>
          <w:rFonts w:ascii="Times New Roman" w:eastAsia="Kaiti TC" w:hAnsi="Times New Roman" w:cs="Times New Roman"/>
        </w:rPr>
        <w:t>016</w:t>
      </w:r>
      <w:r w:rsidRPr="003252CC">
        <w:rPr>
          <w:rFonts w:ascii="Kaiti TC" w:eastAsia="Kaiti TC" w:hAnsi="Kaiti TC" w:cs="Times New Roman"/>
        </w:rPr>
        <w:t>年</w:t>
      </w:r>
      <w:r w:rsidRPr="003252CC">
        <w:rPr>
          <w:rFonts w:ascii="Times New Roman" w:eastAsia="Kaiti TC" w:hAnsi="Times New Roman" w:cs="Times New Roman"/>
        </w:rPr>
        <w:t>Fintech 100</w:t>
      </w:r>
      <w:r w:rsidRPr="003252CC">
        <w:rPr>
          <w:rFonts w:ascii="Kaiti TC" w:eastAsia="Kaiti TC" w:hAnsi="Kaiti TC" w:cs="Times New Roman"/>
        </w:rPr>
        <w:t xml:space="preserve">名單上有 </w:t>
      </w:r>
      <w:r w:rsidRPr="003252CC">
        <w:rPr>
          <w:rFonts w:ascii="Times New Roman" w:eastAsia="Kaiti TC" w:hAnsi="Times New Roman" w:cs="Times New Roman"/>
        </w:rPr>
        <w:t>12</w:t>
      </w:r>
      <w:r w:rsidRPr="003252CC">
        <w:rPr>
          <w:rFonts w:ascii="Kaiti TC" w:eastAsia="Kaiti TC" w:hAnsi="Kaiti TC" w:cs="Times New Roman"/>
        </w:rPr>
        <w:t xml:space="preserve"> 家保險業金融科技公司，將近去年兩倍</w:t>
      </w:r>
    </w:p>
    <w:p w14:paraId="449C07DB" w14:textId="6993D3B3" w:rsidR="003252CC" w:rsidRDefault="003252CC" w:rsidP="003252CC">
      <w:pPr>
        <w:widowControl/>
        <w:spacing w:before="100" w:beforeAutospacing="1" w:after="100" w:afterAutospacing="1"/>
        <w:rPr>
          <w:rFonts w:ascii="Kaiti TC" w:eastAsia="Kaiti TC" w:hAnsi="Kaiti TC" w:cs="Times New Roman"/>
          <w:kern w:val="0"/>
        </w:rPr>
      </w:pPr>
      <w:r>
        <w:rPr>
          <w:rFonts w:ascii="Kaiti TC" w:eastAsia="Kaiti TC" w:hAnsi="Kaiti TC" w:cs="Times New Roman" w:hint="eastAsia"/>
          <w:kern w:val="0"/>
        </w:rPr>
        <w:t>二、</w:t>
      </w:r>
      <w:r w:rsidRPr="003252CC">
        <w:rPr>
          <w:rFonts w:ascii="Kaiti TC" w:eastAsia="Kaiti TC" w:hAnsi="Kaiti TC" w:cs="Times New Roman" w:hint="eastAsia"/>
          <w:kern w:val="0"/>
        </w:rPr>
        <w:t xml:space="preserve">超過三分之二的保險公司已開始採取具體措施，藉此因應由金融科技帶來的各種挑戰與轉機 </w:t>
      </w:r>
    </w:p>
    <w:p w14:paraId="672D7894" w14:textId="2F21772A" w:rsidR="003252CC" w:rsidRDefault="003252CC" w:rsidP="003252CC">
      <w:pPr>
        <w:widowControl/>
        <w:spacing w:before="100" w:beforeAutospacing="1" w:after="100" w:afterAutospacing="1"/>
        <w:rPr>
          <w:rFonts w:ascii="Kaiti TC" w:eastAsia="Kaiti TC" w:hAnsi="Kaiti TC" w:cs="Times New Roman"/>
          <w:kern w:val="0"/>
        </w:rPr>
      </w:pPr>
      <w:r>
        <w:rPr>
          <w:rFonts w:ascii="Kaiti TC" w:eastAsia="Kaiti TC" w:hAnsi="Kaiti TC" w:cs="Times New Roman" w:hint="eastAsia"/>
          <w:kern w:val="0"/>
        </w:rPr>
        <w:t>三、</w:t>
      </w:r>
      <w:r w:rsidRPr="003252CC">
        <w:rPr>
          <w:rFonts w:ascii="Kaiti TC" w:eastAsia="Kaiti TC" w:hAnsi="Kaiti TC" w:cs="Times New Roman" w:hint="eastAsia"/>
          <w:kern w:val="0"/>
        </w:rPr>
        <w:t xml:space="preserve">創辦保險科技業之資金於過去三年已激增至五倍之多，其累計之金額自 </w:t>
      </w:r>
      <w:r w:rsidRPr="003252CC">
        <w:rPr>
          <w:rFonts w:ascii="Times New Roman" w:eastAsia="Kaiti TC" w:hAnsi="Times New Roman" w:cs="Times New Roman"/>
          <w:kern w:val="0"/>
        </w:rPr>
        <w:t>2010</w:t>
      </w:r>
      <w:r w:rsidRPr="003252CC">
        <w:rPr>
          <w:rFonts w:ascii="Kaiti TC" w:eastAsia="Kaiti TC" w:hAnsi="Kaiti TC" w:cs="Times New Roman"/>
          <w:kern w:val="0"/>
        </w:rPr>
        <w:t xml:space="preserve"> </w:t>
      </w:r>
      <w:r w:rsidRPr="003252CC">
        <w:rPr>
          <w:rFonts w:ascii="Kaiti TC" w:eastAsia="Kaiti TC" w:hAnsi="Kaiti TC" w:cs="Times New Roman" w:hint="eastAsia"/>
          <w:kern w:val="0"/>
        </w:rPr>
        <w:t xml:space="preserve">年起，已達 </w:t>
      </w:r>
      <w:r w:rsidRPr="003252CC">
        <w:rPr>
          <w:rFonts w:ascii="Times New Roman" w:eastAsia="Kaiti TC" w:hAnsi="Times New Roman" w:cs="Times New Roman"/>
          <w:kern w:val="0"/>
        </w:rPr>
        <w:t>34</w:t>
      </w:r>
      <w:r w:rsidRPr="003252CC">
        <w:rPr>
          <w:rFonts w:ascii="Kaiti TC" w:eastAsia="Kaiti TC" w:hAnsi="Kaiti TC" w:cs="Times New Roman"/>
          <w:kern w:val="0"/>
        </w:rPr>
        <w:t xml:space="preserve"> </w:t>
      </w:r>
      <w:r w:rsidRPr="003252CC">
        <w:rPr>
          <w:rFonts w:ascii="Kaiti TC" w:eastAsia="Kaiti TC" w:hAnsi="Kaiti TC" w:cs="Times New Roman" w:hint="eastAsia"/>
          <w:kern w:val="0"/>
        </w:rPr>
        <w:t>億美金</w:t>
      </w:r>
    </w:p>
    <w:p w14:paraId="31E55EAD" w14:textId="1E82714F" w:rsidR="003252CC" w:rsidRDefault="00AC0FF1" w:rsidP="003252CC">
      <w:pPr>
        <w:widowControl/>
        <w:spacing w:before="100" w:beforeAutospacing="1" w:after="100" w:afterAutospacing="1"/>
        <w:rPr>
          <w:rFonts w:ascii="Kaiti TC" w:eastAsia="Kaiti TC" w:hAnsi="Kaiti TC" w:cs="Times New Roman"/>
        </w:rPr>
      </w:pPr>
      <w:r>
        <w:rPr>
          <w:rFonts w:ascii="Kaiti TC" w:eastAsia="Kaiti TC" w:hAnsi="Kaiti TC" w:cs="Times New Roman"/>
          <w:kern w:val="0"/>
        </w:rPr>
        <w:tab/>
      </w:r>
      <w:r>
        <w:rPr>
          <w:rFonts w:ascii="Kaiti TC" w:eastAsia="Kaiti TC" w:hAnsi="Kaiti TC" w:cs="Times New Roman" w:hint="eastAsia"/>
          <w:kern w:val="0"/>
        </w:rPr>
        <w:t>而就各項技術而言，</w:t>
      </w:r>
      <w:r w:rsidR="009B618C">
        <w:rPr>
          <w:rFonts w:ascii="Kaiti TC" w:eastAsia="Kaiti TC" w:hAnsi="Kaiti TC" w:cs="Times New Roman" w:hint="eastAsia"/>
          <w:kern w:val="0"/>
        </w:rPr>
        <w:t>舉例來說，</w:t>
      </w:r>
      <w:r w:rsidR="009B618C" w:rsidRPr="009B618C">
        <w:rPr>
          <w:rFonts w:ascii="Kaiti TC" w:eastAsia="Kaiti TC" w:hAnsi="Kaiti TC" w:cs="Times New Roman"/>
        </w:rPr>
        <w:t>藉</w:t>
      </w:r>
      <w:r w:rsidR="009B618C">
        <w:rPr>
          <w:rFonts w:ascii="Kaiti TC" w:eastAsia="Kaiti TC" w:hAnsi="Kaiti TC" w:cs="Times New Roman" w:hint="eastAsia"/>
        </w:rPr>
        <w:t>由</w:t>
      </w:r>
      <w:r w:rsidR="009B618C" w:rsidRPr="009B618C">
        <w:rPr>
          <w:rFonts w:ascii="Kaiti TC" w:eastAsia="Kaiti TC" w:hAnsi="Kaiti TC" w:cs="Times New Roman"/>
        </w:rPr>
        <w:t>大數據應用來分析保險業者已有保戶的長期且大量之資料，可提供更加多元化的保單服務，例如使用者基礎保單</w:t>
      </w:r>
      <w:r w:rsidR="009B618C" w:rsidRPr="009B618C">
        <w:rPr>
          <w:rFonts w:ascii="Times New Roman" w:eastAsia="Kaiti TC" w:hAnsi="Times New Roman" w:cs="Times New Roman"/>
        </w:rPr>
        <w:t>UBI</w:t>
      </w:r>
      <w:r w:rsidR="009B618C" w:rsidRPr="009B618C">
        <w:rPr>
          <w:rFonts w:ascii="Kaiti TC" w:eastAsia="Kaiti TC" w:hAnsi="Kaiti TC" w:cs="Times New Roman"/>
        </w:rPr>
        <w:t>，此技術可用於記錄個人身心狀態檢測，透過穿戴式裝置連線記錄被保險</w:t>
      </w:r>
      <w:r w:rsidR="009B618C" w:rsidRPr="009B618C">
        <w:rPr>
          <w:rFonts w:ascii="Kaiti TC" w:eastAsia="Kaiti TC" w:hAnsi="Kaiti TC" w:cs="Times New Roman"/>
        </w:rPr>
        <w:lastRenderedPageBreak/>
        <w:t>人之健康狀態，定期追蹤客戶的健康資訊，將搜集得到的這些資訊加以分析與應用，來研發專門的長照險計價模型</w:t>
      </w:r>
      <w:r w:rsidR="009B618C">
        <w:rPr>
          <w:rFonts w:ascii="Kaiti TC" w:eastAsia="Kaiti TC" w:hAnsi="Kaiti TC" w:cs="Times New Roman" w:hint="eastAsia"/>
        </w:rPr>
        <w:t>．</w:t>
      </w:r>
    </w:p>
    <w:p w14:paraId="3D3A8D43" w14:textId="1FE52988" w:rsidR="003B0C50" w:rsidRPr="003B0C50" w:rsidRDefault="009B618C" w:rsidP="003B0C50">
      <w:pPr>
        <w:pStyle w:val="Web"/>
        <w:rPr>
          <w:rFonts w:ascii="Kaiti TC" w:eastAsia="Kaiti TC" w:hAnsi="Kaiti TC"/>
        </w:rPr>
      </w:pPr>
      <w:r>
        <w:rPr>
          <w:rFonts w:ascii="Kaiti TC" w:eastAsia="Kaiti TC" w:hAnsi="Kaiti TC" w:cs="Times New Roman"/>
        </w:rPr>
        <w:tab/>
      </w:r>
      <w:r w:rsidR="003B0C50">
        <w:rPr>
          <w:rFonts w:ascii="Kaiti TC" w:eastAsia="Kaiti TC" w:hAnsi="Kaiti TC" w:cs="Times New Roman" w:hint="eastAsia"/>
        </w:rPr>
        <w:t>而</w:t>
      </w:r>
      <w:r w:rsidR="003B0C50" w:rsidRPr="003B0C50">
        <w:rPr>
          <w:rFonts w:ascii="Kaiti TC" w:eastAsia="Kaiti TC" w:hAnsi="Kaiti TC" w:hint="eastAsia"/>
        </w:rPr>
        <w:t>物聯網</w:t>
      </w:r>
      <w:r w:rsidR="003B0C50" w:rsidRPr="003B0C50">
        <w:rPr>
          <w:rFonts w:ascii="Times New Roman" w:eastAsia="Kaiti TC" w:hAnsi="Times New Roman" w:cs="Times New Roman"/>
        </w:rPr>
        <w:t>(Internet of things, IoT)</w:t>
      </w:r>
      <w:r w:rsidR="003B0C50" w:rsidRPr="003B0C50">
        <w:rPr>
          <w:rFonts w:ascii="Kaiti TC" w:eastAsia="Kaiti TC" w:hAnsi="Kaiti TC" w:hint="eastAsia"/>
        </w:rPr>
        <w:t>的技術發展主要是利用穿戴式裝置和感應器之設置，透過網路串接大量之資料，並運用這些資料提供加值服務。對於保險業者而言，物聯網的優勢能讓保險業者透過網路更快速掌握承保標的最新狀態，藉由物聯網技術的即時連線性，當潛在風險發生時，物聯網各節點除可自動通知相關人員外，保險業者也可透過連線得知最新狀態，直接提供必要協助。舉例來說，</w:t>
      </w:r>
      <w:r w:rsidR="003B0C50" w:rsidRPr="003B0C50">
        <w:rPr>
          <w:rFonts w:ascii="Times New Roman" w:eastAsia="Kaiti TC" w:hAnsi="Times New Roman" w:cs="Times New Roman"/>
        </w:rPr>
        <w:t>State Farm’s Connected Care program</w:t>
      </w:r>
      <w:r w:rsidR="003B0C50" w:rsidRPr="003B0C50">
        <w:rPr>
          <w:rFonts w:ascii="Kaiti TC" w:eastAsia="Kaiti TC" w:hAnsi="Kaiti TC" w:hint="eastAsia"/>
        </w:rPr>
        <w:t xml:space="preserve">即是透過物聯網方式，當發生緊急狀況時，便可透過感應器提供即時協助，確保老人之獨立性，又可使其接受完善照護。 </w:t>
      </w:r>
    </w:p>
    <w:p w14:paraId="6B0E97EC" w14:textId="1DD6D6F6" w:rsidR="003252CC" w:rsidRPr="003252CC" w:rsidRDefault="003B0C50" w:rsidP="003B0C50">
      <w:pPr>
        <w:widowControl/>
        <w:spacing w:before="100" w:beforeAutospacing="1" w:after="100" w:afterAutospacing="1"/>
        <w:rPr>
          <w:rFonts w:ascii="Kaiti TC" w:eastAsia="Kaiti TC" w:hAnsi="Kaiti TC" w:cs="Times New Roman" w:hint="eastAsia"/>
        </w:rPr>
      </w:pPr>
      <w:r>
        <w:rPr>
          <w:rFonts w:ascii="Kaiti TC" w:eastAsia="Kaiti TC" w:hAnsi="Kaiti TC" w:cs="Times New Roman"/>
        </w:rPr>
        <w:tab/>
      </w:r>
      <w:r>
        <w:rPr>
          <w:rFonts w:ascii="Kaiti TC" w:eastAsia="Kaiti TC" w:hAnsi="Kaiti TC" w:cs="Times New Roman" w:hint="eastAsia"/>
        </w:rPr>
        <w:t>而在整個演講過程中，講者也始終強調「科技始終來自人性」，不論科技</w:t>
      </w:r>
      <w:r w:rsidR="00082F51">
        <w:rPr>
          <w:rFonts w:ascii="Kaiti TC" w:eastAsia="Kaiti TC" w:hAnsi="Kaiti TC" w:cs="Times New Roman" w:hint="eastAsia"/>
        </w:rPr>
        <w:t>如何蓬勃發展，人們如何加以應用才是重點，若是不重視自己的健康，</w:t>
      </w:r>
      <w:r w:rsidR="00391A1E">
        <w:rPr>
          <w:rFonts w:ascii="Kaiti TC" w:eastAsia="Kaiti TC" w:hAnsi="Kaiti TC" w:cs="Times New Roman" w:hint="eastAsia"/>
        </w:rPr>
        <w:t>再</w:t>
      </w:r>
      <w:r w:rsidR="00082F51">
        <w:rPr>
          <w:rFonts w:ascii="Kaiti TC" w:eastAsia="Kaiti TC" w:hAnsi="Kaiti TC" w:cs="Times New Roman" w:hint="eastAsia"/>
        </w:rPr>
        <w:t>強大的科技也是枉然．在透過兩位講者的分享後，也讓我對保險業有更深入得了解．</w:t>
      </w:r>
    </w:p>
    <w:sectPr w:rsidR="003252CC" w:rsidRPr="003252CC" w:rsidSect="00C3597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0185"/>
    <w:multiLevelType w:val="hybridMultilevel"/>
    <w:tmpl w:val="454CE930"/>
    <w:lvl w:ilvl="0" w:tplc="39468B44">
      <w:start w:val="1"/>
      <w:numFmt w:val="decimal"/>
      <w:lvlText w:val="%1."/>
      <w:lvlJc w:val="left"/>
      <w:pPr>
        <w:ind w:left="380" w:hanging="38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3E"/>
    <w:rsid w:val="00082F51"/>
    <w:rsid w:val="003252CC"/>
    <w:rsid w:val="00391A1E"/>
    <w:rsid w:val="003B0C50"/>
    <w:rsid w:val="007E073E"/>
    <w:rsid w:val="00897899"/>
    <w:rsid w:val="009B618C"/>
    <w:rsid w:val="00AC0FF1"/>
    <w:rsid w:val="00C3597B"/>
    <w:rsid w:val="00E6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2EFE"/>
  <w15:chartTrackingRefBased/>
  <w15:docId w15:val="{104AE75D-FD44-8649-B61D-5EA10849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252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430</Words>
  <Characters>488</Characters>
  <Application>Microsoft Office Word</Application>
  <DocSecurity>0</DocSecurity>
  <Lines>20</Lines>
  <Paragraphs>14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2020-09-26T03:43:00Z</dcterms:created>
  <dcterms:modified xsi:type="dcterms:W3CDTF">2020-09-26T04:14:00Z</dcterms:modified>
</cp:coreProperties>
</file>