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Home:</w:t>
        <w:br w:type="textWrapping"/>
      </w:r>
      <w:r w:rsidDel="00000000" w:rsidR="00000000" w:rsidRPr="00000000">
        <w:rPr>
          <w:rtl w:val="0"/>
        </w:rPr>
        <w:br w:type="textWrapping"/>
        <w:t xml:space="preserve">Unlock Your Business's Full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Potential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Partner with Clevrly and ignite your journey to unparalleled success.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At Clevrly, we don't just optimize; we transform. We empower brands to break through barriers, captivate audiences, and achieve sustainable, exponential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growth. Imagine a future where your vision is amplified, your market share expands, and your brand dominates. That future starts now.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Why Clevrly?</w:t>
        <w:br w:type="textWrapping"/>
        <w:br w:type="textWrapping"/>
      </w:r>
      <w:r w:rsidDel="00000000" w:rsidR="00000000" w:rsidRPr="00000000">
        <w:rPr>
          <w:rtl w:val="0"/>
        </w:rPr>
        <w:t xml:space="preserve">Data-Driven Strategy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Our proprietary analytics framework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transforms raw data into actionable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intelligence, allowing us to pinpoint growth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opportunities and optimize campaigns with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unparalleled precision. This means your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investments are always directed where they'll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achieve maximum impact, not just informed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decisions.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Excellence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Beyond captivating visuals, our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award-winning creative team develops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authentic narratives that resonate deeply with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your target audience. We don't just create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content; we craft memorable brand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experiences that foster genuine connection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and lasting loyalty.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Measurable Results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We believe in accountability. Our transparent reporting and rigorous KPI tracking ensure every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initiative delivers a quantifiable return on investment, providing you with clear insights into your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growth and continuous improvement.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Services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Performance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Optimizes campaigns for measurable ROI and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growth.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&amp; SEM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Boosts online visibility and drives targeted traffic.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Marketing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Cultivates vibrant online communities and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engagement.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Brand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Crafts unique brand identities that stand out.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Strategy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Develops compelling narratives that resonate and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convert.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 &amp; App Design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Creates intuitive, aesthetic, and functional digital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experiences.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Stories</w:t>
        <w:br w:type="textWrapping"/>
        <w:br w:type="textWrapping"/>
        <w:t xml:space="preserve">60%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E-commerce Sales Increase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Achieving a significant uplift in online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retail performance through targeted digital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strategies and conversion optimization,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driving substantial revenue growth for our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Clients.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150%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Lead Growth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Propelling patient acquisition for medical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services by implementing specialized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healthcare marketing campaigns, resulting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 a dramatic increase in qualified leads.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300%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D2C Brand ROI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Delivering exceptional return on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investment for new direct-to-consumer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ventures within just 6 months,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demonstrating rapid market penetration and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profitability through effective launch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strategies.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250%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Platform Lead Increase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Boosting lead generation for a cutting-edge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SaaS platform through integrated content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and performance marketing, significantly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expanding their sales pipeline.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180%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Fashion Brand Revenue Growth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Driving rapid revenue growth for an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emerging fashion brand by enhancing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online presence, social media engagement,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and strategic influencer collaborations.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95%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Travel Company Booking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Elevating booking rates for a travel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company with compelling digital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campaigns and optimized user experiences,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leading to a near-doubling of reservations.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120%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 Estate Qualified Leads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Generating high-quality leads for real estate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developers and agents through targeted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digital advertising and SEO, ensuring a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consistent flow of potential buyers.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