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0"/>
        <w:rPr/>
      </w:pPr>
      <w:r>
        <w:rPr/>
      </w:r>
    </w:p>
    <w:p>
      <w:pPr>
        <w:pStyle w:val="Normal"/>
        <w:jc w:val="center"/>
        <w:rPr/>
      </w:pPr>
      <w:r>
        <w:rPr>
          <w:b/>
          <w:bCs/>
          <w:color w:val="1B4D3E"/>
          <w:sz w:val="144"/>
          <w:szCs w:val="144"/>
        </w:rPr>
        <w:t>Σ</w:t>
      </w:r>
    </w:p>
    <w:p>
      <w:pPr>
        <w:pStyle w:val="Normal"/>
        <w:spacing w:before="200" w:after="0"/>
        <w:jc w:val="center"/>
        <w:rPr/>
      </w:pPr>
      <w:r>
        <w:rPr>
          <w:b/>
          <w:bCs/>
          <w:color w:val="111111"/>
          <w:sz w:val="64"/>
          <w:szCs w:val="64"/>
        </w:rPr>
        <w:t>SIGMA PROTOCOL</w:t>
      </w:r>
    </w:p>
    <w:p>
      <w:pPr>
        <w:pStyle w:val="Normal"/>
        <w:spacing w:before="120" w:after="600"/>
        <w:jc w:val="center"/>
        <w:rPr/>
      </w:pPr>
      <w:r>
        <w:rPr>
          <w:i/>
          <w:iCs/>
          <w:color w:val="1B4D3E"/>
          <w:sz w:val="30"/>
          <w:szCs w:val="30"/>
        </w:rPr>
        <w:t>The Sum of Secure Finance</w:t>
      </w:r>
    </w:p>
    <w:p>
      <w:pPr>
        <w:pStyle w:val="Normal"/>
        <w:spacing w:before="200" w:after="0"/>
        <w:jc w:val="center"/>
        <w:rPr/>
      </w:pPr>
      <w:r>
        <w:rPr>
          <w:color w:val="595959"/>
          <w:sz w:val="24"/>
          <w:szCs w:val="24"/>
        </w:rPr>
        <w:t>A Weighted-Equity Multi-Signature Treasury Protocol for Decentralized Organizations</w:t>
      </w:r>
    </w:p>
    <w:p>
      <w:pPr>
        <w:pStyle w:val="Normal"/>
        <w:spacing w:before="3200" w:after="0"/>
        <w:rPr/>
      </w:pPr>
      <w:r>
        <w:rPr/>
      </w:r>
    </w:p>
    <w:p>
      <w:pPr>
        <w:pStyle w:val="Normal"/>
        <w:jc w:val="center"/>
        <w:rPr/>
      </w:pPr>
      <w:r>
        <w:rPr>
          <w:b/>
          <w:bCs/>
          <w:color w:val="111111"/>
          <w:sz w:val="22"/>
          <w:szCs w:val="22"/>
        </w:rPr>
        <w:t>TECHNICAL WHITEPAPER</w:t>
      </w:r>
    </w:p>
    <w:p>
      <w:pPr>
        <w:pStyle w:val="Normal"/>
        <w:spacing w:before="80" w:after="0"/>
        <w:jc w:val="center"/>
        <w:rPr/>
      </w:pPr>
      <w:r>
        <w:rPr>
          <w:color w:val="595959"/>
          <w:sz w:val="20"/>
          <w:szCs w:val="20"/>
        </w:rPr>
        <w:t>Version 1.0</w:t>
      </w:r>
    </w:p>
    <w:p>
      <w:pPr>
        <w:pStyle w:val="Normal"/>
        <w:spacing w:before="80" w:after="0"/>
        <w:jc w:val="center"/>
        <w:rPr/>
        <w:sectPr>
          <w:type w:val="nextPage"/>
          <w:pgSz w:w="12240" w:h="15840"/>
          <w:pgMar w:left="1440" w:right="1440" w:gutter="0" w:header="0" w:top="1440" w:footer="0" w:bottom="1440"/>
          <w:pgNumType w:fmt="decimal"/>
          <w:formProt w:val="false"/>
          <w:textDirection w:val="lrTb"/>
          <w:docGrid w:type="default" w:linePitch="360" w:charSpace="0"/>
        </w:sectPr>
      </w:pPr>
      <w:r>
        <w:rPr>
          <w:color w:val="595959"/>
          <w:sz w:val="20"/>
          <w:szCs w:val="20"/>
        </w:rPr>
        <w:t>July 2026</w:t>
      </w:r>
    </w:p>
    <w:p>
      <w:pPr>
        <w:pStyle w:val="Heading1"/>
        <w:rPr/>
      </w:pPr>
      <w:r>
        <w:rPr>
          <w:b/>
          <w:bCs/>
          <w:color w:val="1B4D3E"/>
          <w:sz w:val="32"/>
          <w:szCs w:val="32"/>
        </w:rPr>
        <w:t>Table of Contents</w:t>
      </w:r>
    </w:p>
    <w:sdt>
      <w:sdtPr>
        <w:docPartObj>
          <w:docPartGallery w:val="Table of Contents"/>
          <w:docPartUnique w:val="true"/>
        </w:docPartObj>
      </w:sdtPr>
      <w:sdtContent>
        <w:p>
          <w:pPr>
            <w:pStyle w:val="Normal"/>
            <w:rPr/>
          </w:pPr>
          <w:r>
            <w:fldChar w:fldCharType="begin"/>
          </w:r>
          <w:r>
            <w:rPr/>
            <w:instrText xml:space="preserve"> TOC \o "1-3" \h</w:instrText>
          </w:r>
          <w:r>
            <w:rPr/>
            <w:fldChar w:fldCharType="separate"/>
          </w:r>
          <w:r>
            <w:rPr/>
          </w:r>
          <w:r>
            <w:rPr/>
            <w:fldChar w:fldCharType="end"/>
          </w:r>
        </w:p>
      </w:sdtContent>
    </w:sdt>
    <w:p>
      <w:pPr>
        <w:pStyle w:val="Normal"/>
        <w:rPr/>
      </w:pPr>
      <w:r>
        <w:rPr/>
      </w:r>
    </w:p>
    <w:p>
      <w:pPr>
        <w:pStyle w:val="Normal"/>
        <w:rPr/>
      </w:pPr>
      <w:r>
        <w:rPr/>
      </w:r>
      <w:r>
        <w:br w:type="page"/>
      </w:r>
    </w:p>
    <w:p>
      <w:pPr>
        <w:pStyle w:val="Heading1"/>
        <w:pBdr>
          <w:bottom w:val="single" w:sz="6" w:space="4" w:color="1B4D3E"/>
        </w:pBdr>
        <w:spacing w:before="0" w:after="240"/>
        <w:rPr/>
      </w:pPr>
      <w:r>
        <w:rPr>
          <w:b/>
          <w:bCs/>
          <w:color w:val="1B4D3E"/>
          <w:sz w:val="32"/>
          <w:szCs w:val="32"/>
        </w:rPr>
        <w:t>1. Abstract</w:t>
      </w:r>
    </w:p>
    <w:p>
      <w:pPr>
        <w:pStyle w:val="Normal"/>
        <w:spacing w:lineRule="auto" w:line="300" w:before="0" w:after="200"/>
        <w:jc w:val="both"/>
        <w:rPr/>
      </w:pPr>
      <w:r>
        <w:rPr>
          <w:rFonts w:eastAsia="Calibri" w:cs="Calibri" w:ascii="Calibri" w:hAnsi="Calibri"/>
          <w:sz w:val="22"/>
          <w:szCs w:val="22"/>
        </w:rPr>
        <w:t>Sigma Protocol is a cross-chain, modular treasury infrastructure that replaces the shared private key and the flat “one-signer, one-vote” multisignature model with a weighted-equity governance framework. Voting power over an organization's on-chain treasury is derived directly from each signer's ownership percentage, so a company's cap table — not an arbitrary signer count — determines how funds move.</w:t>
      </w:r>
    </w:p>
    <w:p>
      <w:pPr>
        <w:pStyle w:val="Normal"/>
        <w:spacing w:lineRule="auto" w:line="300" w:before="0" w:after="200"/>
        <w:jc w:val="both"/>
        <w:rPr/>
      </w:pPr>
      <w:r>
        <w:rPr>
          <w:rFonts w:eastAsia="Calibri" w:cs="Calibri" w:ascii="Calibri" w:hAnsi="Calibri"/>
          <w:sz w:val="22"/>
          <w:szCs w:val="22"/>
        </w:rPr>
        <w:t>The protocol decouples governance logic from asset custody through a Factory → Controller → Vault architecture, deployed deterministically so that every treasury shares an identical address across every supported chain. On top of this foundation, Sigma layers execution timelocks, proposal expiry, CSV-driven batch payouts, and native DeFi swap tooling, giving organizations a single interface to manage payroll, investor distributions, and treasury operations without ceding custody to a third party.</w:t>
      </w:r>
    </w:p>
    <w:p>
      <w:pPr>
        <w:pStyle w:val="Normal"/>
        <w:spacing w:lineRule="auto" w:line="300" w:before="0" w:after="200"/>
        <w:jc w:val="both"/>
        <w:rPr/>
      </w:pPr>
      <w:r>
        <w:rPr>
          <w:rFonts w:eastAsia="Calibri" w:cs="Calibri" w:ascii="Calibri" w:hAnsi="Calibri"/>
          <w:sz w:val="22"/>
          <w:szCs w:val="22"/>
        </w:rPr>
        <w:t>This document describes the problem Sigma solves, its architecture and governance mechanics, its smart contract design, its security guardrails, and its roadmap.</w:t>
      </w:r>
    </w:p>
    <w:p>
      <w:pPr>
        <w:pStyle w:val="Heading1"/>
        <w:pBdr>
          <w:bottom w:val="single" w:sz="6" w:space="4" w:color="1B4D3E"/>
        </w:pBdr>
        <w:spacing w:before="480" w:after="240"/>
        <w:rPr/>
      </w:pPr>
      <w:r>
        <w:rPr>
          <w:b/>
          <w:bCs/>
          <w:color w:val="1B4D3E"/>
          <w:sz w:val="32"/>
          <w:szCs w:val="32"/>
        </w:rPr>
        <w:t>2. Problem Statement</w:t>
      </w:r>
    </w:p>
    <w:p>
      <w:pPr>
        <w:pStyle w:val="Normal"/>
        <w:spacing w:lineRule="auto" w:line="300" w:before="0" w:after="200"/>
        <w:jc w:val="both"/>
        <w:rPr/>
      </w:pPr>
      <w:r>
        <w:rPr>
          <w:rFonts w:eastAsia="Calibri" w:cs="Calibri" w:ascii="Calibri" w:hAnsi="Calibri"/>
          <w:sz w:val="22"/>
          <w:szCs w:val="22"/>
        </w:rPr>
        <w:t>On-chain organizations — DAOs, crypto-native startups, and distributed teams — overwhelmingly rely on one of two flawed custody models:</w:t>
      </w:r>
    </w:p>
    <w:p>
      <w:pPr>
        <w:pStyle w:val="Heading3"/>
        <w:spacing w:before="240" w:after="120"/>
        <w:rPr/>
      </w:pPr>
      <w:r>
        <w:rPr>
          <w:b/>
          <w:bCs/>
          <w:color w:val="1B4D3E"/>
          <w:sz w:val="22"/>
          <w:szCs w:val="22"/>
        </w:rPr>
        <w:t>2.1 The Single Private Key</w:t>
      </w:r>
    </w:p>
    <w:p>
      <w:pPr>
        <w:pStyle w:val="Normal"/>
        <w:spacing w:lineRule="auto" w:line="300" w:before="0" w:after="200"/>
        <w:jc w:val="both"/>
        <w:rPr/>
      </w:pPr>
      <w:r>
        <w:rPr>
          <w:rFonts w:eastAsia="Calibri" w:cs="Calibri" w:ascii="Calibri" w:hAnsi="Calibri"/>
          <w:sz w:val="22"/>
          <w:szCs w:val="22"/>
        </w:rPr>
        <w:t>A founder or treasurer holds one key controlling all organizational funds. This is a single point of failure: the key can be lost, stolen, or misused by the individual who holds it, with no recourse or oversight from other stakeholders.</w:t>
      </w:r>
    </w:p>
    <w:p>
      <w:pPr>
        <w:pStyle w:val="Heading3"/>
        <w:spacing w:before="240" w:after="120"/>
        <w:rPr/>
      </w:pPr>
      <w:r>
        <w:rPr>
          <w:b/>
          <w:bCs/>
          <w:color w:val="1B4D3E"/>
          <w:sz w:val="22"/>
          <w:szCs w:val="22"/>
        </w:rPr>
        <w:t>2.2 The Flat Multisig</w:t>
      </w:r>
    </w:p>
    <w:p>
      <w:pPr>
        <w:pStyle w:val="Normal"/>
        <w:spacing w:lineRule="auto" w:line="300" w:before="0" w:after="200"/>
        <w:jc w:val="both"/>
        <w:rPr/>
      </w:pPr>
      <w:r>
        <w:rPr>
          <w:rFonts w:eastAsia="Calibri" w:cs="Calibri" w:ascii="Calibri" w:hAnsi="Calibri"/>
          <w:sz w:val="22"/>
          <w:szCs w:val="22"/>
        </w:rPr>
        <w:t>Standard multisignature wallets (for example, a classic “3-of-5” setup) fix the problem of a single point of failure but introduce a new one: every signer is treated as equal, regardless of their actual stake in the organization. A founder holding 60% of a company has the same single vote as an advisor holding 2%. This does not reflect real governance structures, and it creates friction when equity-weighted decisions — such as approving a large expenditure — need to happen quickly.</w:t>
      </w:r>
    </w:p>
    <w:p>
      <w:pPr>
        <w:pStyle w:val="Heading3"/>
        <w:spacing w:before="240" w:after="120"/>
        <w:rPr/>
      </w:pPr>
      <w:r>
        <w:rPr>
          <w:b/>
          <w:bCs/>
          <w:color w:val="1B4D3E"/>
          <w:sz w:val="22"/>
          <w:szCs w:val="22"/>
        </w:rPr>
        <w:t>2.3 Fragmented Multi-Chain Operations</w:t>
      </w:r>
    </w:p>
    <w:p>
      <w:pPr>
        <w:pStyle w:val="Normal"/>
        <w:spacing w:lineRule="auto" w:line="300" w:before="0" w:after="200"/>
        <w:jc w:val="both"/>
        <w:rPr/>
      </w:pPr>
      <w:r>
        <w:rPr>
          <w:rFonts w:eastAsia="Calibri" w:cs="Calibri" w:ascii="Calibri" w:hAnsi="Calibri"/>
          <w:sz w:val="22"/>
          <w:szCs w:val="22"/>
        </w:rPr>
        <w:t>Organizations increasingly hold assets across multiple chains — Celo, Base, Arbitrum, Optimism, and others. Deploying and managing a separate treasury contract with a separate address on each chain is operationally error-prone: signers must verify a different address per network, increasing the risk of funds being sent to an unverified or incorrect contract.</w:t>
      </w:r>
    </w:p>
    <w:p>
      <w:pPr>
        <w:pStyle w:val="Heading3"/>
        <w:spacing w:before="240" w:after="120"/>
        <w:rPr/>
      </w:pPr>
      <w:r>
        <w:rPr>
          <w:b/>
          <w:bCs/>
          <w:color w:val="1B4D3E"/>
          <w:sz w:val="22"/>
          <w:szCs w:val="22"/>
        </w:rPr>
        <w:t>2.4 Operational Overhead for Mass Payments</w:t>
      </w:r>
    </w:p>
    <w:p>
      <w:pPr>
        <w:pStyle w:val="Normal"/>
        <w:spacing w:lineRule="auto" w:line="300" w:before="0" w:after="200"/>
        <w:jc w:val="both"/>
        <w:rPr/>
      </w:pPr>
      <w:r>
        <w:rPr>
          <w:rFonts w:eastAsia="Calibri" w:cs="Calibri" w:ascii="Calibri" w:hAnsi="Calibri"/>
          <w:sz w:val="22"/>
          <w:szCs w:val="22"/>
        </w:rPr>
        <w:t>Payroll, investor distributions, and community airdrops typically require one transaction per recipient. For an organization paying dozens or hundreds of people, this is slow, expensive in aggregate gas costs, and difficult to audit as a single, coherent action.</w:t>
      </w:r>
    </w:p>
    <w:p>
      <w:pPr>
        <w:pStyle w:val="Heading1"/>
        <w:pBdr>
          <w:bottom w:val="single" w:sz="6" w:space="4" w:color="1B4D3E"/>
        </w:pBdr>
        <w:spacing w:before="480" w:after="240"/>
        <w:rPr/>
      </w:pPr>
      <w:r>
        <w:rPr>
          <w:b/>
          <w:bCs/>
          <w:color w:val="1B4D3E"/>
          <w:sz w:val="32"/>
          <w:szCs w:val="32"/>
        </w:rPr>
        <w:t>3. The Sigma Solution</w:t>
      </w:r>
    </w:p>
    <w:p>
      <w:pPr>
        <w:pStyle w:val="Normal"/>
        <w:spacing w:lineRule="auto" w:line="300" w:before="0" w:after="200"/>
        <w:jc w:val="both"/>
        <w:rPr/>
      </w:pPr>
      <w:r>
        <w:rPr>
          <w:rFonts w:eastAsia="Calibri" w:cs="Calibri" w:ascii="Calibri" w:hAnsi="Calibri"/>
          <w:sz w:val="22"/>
          <w:szCs w:val="22"/>
        </w:rPr>
        <w:t>Sigma Protocol addresses each of these problems with a purpose-built treasury layer:</w:t>
      </w:r>
    </w:p>
    <w:p>
      <w:pPr>
        <w:pStyle w:val="ListParagraph"/>
        <w:numPr>
          <w:ilvl w:val="0"/>
          <w:numId w:val="4"/>
        </w:numPr>
        <w:spacing w:lineRule="auto" w:line="281" w:before="0" w:after="120"/>
        <w:rPr/>
      </w:pPr>
      <w:r>
        <w:rPr>
          <w:rFonts w:eastAsia="Calibri" w:cs="Calibri" w:ascii="Calibri" w:hAnsi="Calibri"/>
          <w:sz w:val="22"/>
          <w:szCs w:val="22"/>
        </w:rPr>
        <w:t>Weighted Equity Voting — signer voting power equals their assigned equity percentage; a transaction executes once the cumulative percentage of approving signers meets a configurable required threshold.</w:t>
      </w:r>
    </w:p>
    <w:p>
      <w:pPr>
        <w:pStyle w:val="ListParagraph"/>
        <w:numPr>
          <w:ilvl w:val="0"/>
          <w:numId w:val="1"/>
        </w:numPr>
        <w:spacing w:lineRule="auto" w:line="281" w:before="0" w:after="120"/>
        <w:rPr/>
      </w:pPr>
      <w:r>
        <w:rPr>
          <w:rFonts w:eastAsia="Calibri" w:cs="Calibri" w:ascii="Calibri" w:hAnsi="Calibri"/>
          <w:sz w:val="22"/>
          <w:szCs w:val="22"/>
        </w:rPr>
        <w:t>Dual-Layer Architecture — governance logic (the Controller) is strictly separated from asset custody (the Company Wallet), so upgrades to voting rules never touch the assets directly.</w:t>
      </w:r>
    </w:p>
    <w:p>
      <w:pPr>
        <w:pStyle w:val="ListParagraph"/>
        <w:numPr>
          <w:ilvl w:val="0"/>
          <w:numId w:val="1"/>
        </w:numPr>
        <w:spacing w:lineRule="auto" w:line="281" w:before="0" w:after="120"/>
        <w:rPr/>
      </w:pPr>
      <w:r>
        <w:rPr>
          <w:rFonts w:eastAsia="Calibri" w:cs="Calibri" w:ascii="Calibri" w:hAnsi="Calibri"/>
          <w:sz w:val="22"/>
          <w:szCs w:val="22"/>
        </w:rPr>
        <w:t>Deterministic Cross-Chain Deployment — CREATE2-based factory deployment gives every treasury the same contract address on every supported network.</w:t>
      </w:r>
    </w:p>
    <w:p>
      <w:pPr>
        <w:pStyle w:val="ListParagraph"/>
        <w:numPr>
          <w:ilvl w:val="0"/>
          <w:numId w:val="1"/>
        </w:numPr>
        <w:spacing w:lineRule="auto" w:line="281" w:before="0" w:after="120"/>
        <w:rPr/>
      </w:pPr>
      <w:r>
        <w:rPr>
          <w:rFonts w:eastAsia="Calibri" w:cs="Calibri" w:ascii="Calibri" w:hAnsi="Calibri"/>
          <w:sz w:val="22"/>
          <w:szCs w:val="22"/>
        </w:rPr>
        <w:t>Execution Timelocks &amp; Proposal Expiry — approved transactions wait out a mandatory delay before execution, and unapproved proposals automatically expire, closing the door on stale or rushed transactions.</w:t>
      </w:r>
    </w:p>
    <w:p>
      <w:pPr>
        <w:pStyle w:val="ListParagraph"/>
        <w:numPr>
          <w:ilvl w:val="0"/>
          <w:numId w:val="1"/>
        </w:numPr>
        <w:spacing w:lineRule="auto" w:line="281" w:before="0" w:after="120"/>
        <w:rPr/>
      </w:pPr>
      <w:r>
        <w:rPr>
          <w:rFonts w:eastAsia="Calibri" w:cs="Calibri" w:ascii="Calibri" w:hAnsi="Calibri"/>
          <w:sz w:val="22"/>
          <w:szCs w:val="22"/>
        </w:rPr>
        <w:t>Batch Payouts — CSV upload of recipients and amounts is compiled into a single on-chain proposal, requiring only one round of signatures to pay an entire organization.</w:t>
      </w:r>
    </w:p>
    <w:p>
      <w:pPr>
        <w:pStyle w:val="ListParagraph"/>
        <w:numPr>
          <w:ilvl w:val="0"/>
          <w:numId w:val="1"/>
        </w:numPr>
        <w:spacing w:lineRule="auto" w:line="281" w:before="0" w:after="120"/>
        <w:rPr/>
      </w:pPr>
      <w:r>
        <w:rPr>
          <w:rFonts w:eastAsia="Calibri" w:cs="Calibri" w:ascii="Calibri" w:hAnsi="Calibri"/>
          <w:sz w:val="22"/>
          <w:szCs w:val="22"/>
        </w:rPr>
        <w:t>Native DeFi Execution — the treasury dashboard auto-generates calldata for token swaps on the chain's canonical DEX router, so treasury rebalancing does not require manual calldata construction.</w:t>
      </w:r>
    </w:p>
    <w:p>
      <w:pPr>
        <w:pStyle w:val="Heading1"/>
        <w:pBdr>
          <w:bottom w:val="single" w:sz="6" w:space="4" w:color="1B4D3E"/>
        </w:pBdr>
        <w:spacing w:before="480" w:after="240"/>
        <w:rPr/>
      </w:pPr>
      <w:r>
        <w:rPr>
          <w:b/>
          <w:bCs/>
          <w:color w:val="1B4D3E"/>
          <w:sz w:val="32"/>
          <w:szCs w:val="32"/>
        </w:rPr>
        <w:t>4. System Architecture</w:t>
      </w:r>
    </w:p>
    <w:p>
      <w:pPr>
        <w:pStyle w:val="Normal"/>
        <w:spacing w:lineRule="auto" w:line="300" w:before="0" w:after="200"/>
        <w:jc w:val="both"/>
        <w:rPr/>
      </w:pPr>
      <w:r>
        <w:rPr>
          <w:rFonts w:eastAsia="Calibri" w:cs="Calibri" w:ascii="Calibri" w:hAnsi="Calibri"/>
          <w:sz w:val="22"/>
          <w:szCs w:val="22"/>
        </w:rPr>
        <w:t>Sigma is built from three isolated, purpose-specific smart contracts, deployed together for every organization that creates a treasury.</w:t>
      </w:r>
    </w:p>
    <w:tbl>
      <w:tblPr>
        <w:tblW w:w="10600" w:type="dxa"/>
        <w:jc w:val="start"/>
        <w:tblInd w:w="0" w:type="dxa"/>
        <w:tblLayout w:type="fixed"/>
        <w:tblCellMar>
          <w:top w:w="100" w:type="dxa"/>
          <w:start w:w="120" w:type="dxa"/>
          <w:bottom w:w="100" w:type="dxa"/>
          <w:end w:w="120" w:type="dxa"/>
        </w:tblCellMar>
      </w:tblPr>
      <w:tblGrid>
        <w:gridCol w:w="2399"/>
        <w:gridCol w:w="2601"/>
        <w:gridCol w:w="2000"/>
        <w:gridCol w:w="3600"/>
      </w:tblGrid>
      <w:tr>
        <w:trPr>
          <w:tblHeader w:val="true"/>
        </w:trPr>
        <w:tc>
          <w:tcPr>
            <w:tcW w:w="2399" w:type="dxa"/>
            <w:tcBorders>
              <w:top w:val="single" w:sz="4" w:space="0" w:color="000000"/>
              <w:start w:val="single" w:sz="4" w:space="0" w:color="000000"/>
              <w:bottom w:val="single" w:sz="4" w:space="0" w:color="000000"/>
              <w:end w:val="single" w:sz="4" w:space="0" w:color="000000"/>
            </w:tcBorders>
            <w:shd w:color="auto" w:fill="1B4D3E" w:val="clear"/>
          </w:tcPr>
          <w:p>
            <w:pPr>
              <w:pStyle w:val="Normal"/>
              <w:jc w:val="start"/>
              <w:rPr/>
            </w:pPr>
            <w:r>
              <w:rPr>
                <w:rFonts w:eastAsia="Calibri" w:cs="Calibri" w:ascii="Calibri" w:hAnsi="Calibri"/>
                <w:b/>
                <w:bCs/>
                <w:color w:val="FFFFFF"/>
                <w:sz w:val="20"/>
                <w:szCs w:val="20"/>
              </w:rPr>
              <w:t>Component</w:t>
            </w:r>
          </w:p>
        </w:tc>
        <w:tc>
          <w:tcPr>
            <w:tcW w:w="2601" w:type="dxa"/>
            <w:tcBorders>
              <w:top w:val="single" w:sz="4" w:space="0" w:color="000000"/>
              <w:start w:val="single" w:sz="4" w:space="0" w:color="000000"/>
              <w:bottom w:val="single" w:sz="4" w:space="0" w:color="000000"/>
              <w:end w:val="single" w:sz="4" w:space="0" w:color="000000"/>
            </w:tcBorders>
            <w:shd w:color="auto" w:fill="1B4D3E" w:val="clear"/>
          </w:tcPr>
          <w:p>
            <w:pPr>
              <w:pStyle w:val="Normal"/>
              <w:jc w:val="start"/>
              <w:rPr/>
            </w:pPr>
            <w:r>
              <w:rPr>
                <w:rFonts w:eastAsia="Calibri" w:cs="Calibri" w:ascii="Calibri" w:hAnsi="Calibri"/>
                <w:b/>
                <w:bCs/>
                <w:color w:val="FFFFFF"/>
                <w:sz w:val="20"/>
                <w:szCs w:val="20"/>
              </w:rPr>
              <w:t>Contract</w:t>
            </w:r>
          </w:p>
        </w:tc>
        <w:tc>
          <w:tcPr>
            <w:tcW w:w="2000" w:type="dxa"/>
            <w:tcBorders>
              <w:top w:val="single" w:sz="4" w:space="0" w:color="000000"/>
              <w:start w:val="single" w:sz="4" w:space="0" w:color="000000"/>
              <w:bottom w:val="single" w:sz="4" w:space="0" w:color="000000"/>
              <w:end w:val="single" w:sz="4" w:space="0" w:color="000000"/>
            </w:tcBorders>
            <w:shd w:color="auto" w:fill="1B4D3E" w:val="clear"/>
          </w:tcPr>
          <w:p>
            <w:pPr>
              <w:pStyle w:val="Normal"/>
              <w:jc w:val="start"/>
              <w:rPr/>
            </w:pPr>
            <w:r>
              <w:rPr>
                <w:rFonts w:eastAsia="Calibri" w:cs="Calibri" w:ascii="Calibri" w:hAnsi="Calibri"/>
                <w:b/>
                <w:bCs/>
                <w:color w:val="FFFFFF"/>
                <w:sz w:val="20"/>
                <w:szCs w:val="20"/>
              </w:rPr>
              <w:t>Role</w:t>
            </w:r>
          </w:p>
        </w:tc>
        <w:tc>
          <w:tcPr>
            <w:tcW w:w="3600" w:type="dxa"/>
            <w:tcBorders>
              <w:top w:val="single" w:sz="4" w:space="0" w:color="000000"/>
              <w:start w:val="single" w:sz="4" w:space="0" w:color="000000"/>
              <w:bottom w:val="single" w:sz="4" w:space="0" w:color="000000"/>
              <w:end w:val="single" w:sz="4" w:space="0" w:color="000000"/>
            </w:tcBorders>
            <w:shd w:color="auto" w:fill="1B4D3E" w:val="clear"/>
          </w:tcPr>
          <w:p>
            <w:pPr>
              <w:pStyle w:val="Normal"/>
              <w:jc w:val="start"/>
              <w:rPr/>
            </w:pPr>
            <w:r>
              <w:rPr>
                <w:rFonts w:eastAsia="Calibri" w:cs="Calibri" w:ascii="Calibri" w:hAnsi="Calibri"/>
                <w:b/>
                <w:bCs/>
                <w:color w:val="FFFFFF"/>
                <w:sz w:val="20"/>
                <w:szCs w:val="20"/>
              </w:rPr>
              <w:t>Description</w:t>
            </w:r>
          </w:p>
        </w:tc>
      </w:tr>
      <w:tr>
        <w:trPr/>
        <w:tc>
          <w:tcPr>
            <w:tcW w:w="2399" w:type="dxa"/>
            <w:tcBorders>
              <w:top w:val="single" w:sz="4" w:space="0" w:color="000000"/>
              <w:start w:val="single" w:sz="4" w:space="0" w:color="000000"/>
              <w:bottom w:val="single" w:sz="4" w:space="0" w:color="000000"/>
              <w:end w:val="single" w:sz="4" w:space="0" w:color="000000"/>
            </w:tcBorders>
            <w:shd w:color="auto" w:fill="E8F3EF" w:val="clear"/>
          </w:tcPr>
          <w:p>
            <w:pPr>
              <w:pStyle w:val="Normal"/>
              <w:jc w:val="start"/>
              <w:rPr/>
            </w:pPr>
            <w:r>
              <w:rPr>
                <w:rFonts w:eastAsia="Calibri" w:cs="Calibri" w:ascii="Calibri" w:hAnsi="Calibri"/>
                <w:b w:val="false"/>
                <w:bCs w:val="false"/>
                <w:color w:val="111111"/>
                <w:sz w:val="20"/>
                <w:szCs w:val="20"/>
              </w:rPr>
              <w:t>Registry</w:t>
            </w:r>
          </w:p>
        </w:tc>
        <w:tc>
          <w:tcPr>
            <w:tcW w:w="2601" w:type="dxa"/>
            <w:tcBorders>
              <w:top w:val="single" w:sz="4" w:space="0" w:color="000000"/>
              <w:start w:val="single" w:sz="4" w:space="0" w:color="000000"/>
              <w:bottom w:val="single" w:sz="4" w:space="0" w:color="000000"/>
              <w:end w:val="single" w:sz="4" w:space="0" w:color="000000"/>
            </w:tcBorders>
            <w:shd w:color="auto" w:fill="E8F3EF" w:val="clear"/>
          </w:tcPr>
          <w:p>
            <w:pPr>
              <w:pStyle w:val="Normal"/>
              <w:jc w:val="start"/>
              <w:rPr/>
            </w:pPr>
            <w:r>
              <w:rPr>
                <w:rFonts w:eastAsia="Calibri" w:cs="Calibri" w:ascii="Calibri" w:hAnsi="Calibri"/>
                <w:b w:val="false"/>
                <w:bCs w:val="false"/>
                <w:color w:val="111111"/>
                <w:sz w:val="20"/>
                <w:szCs w:val="20"/>
              </w:rPr>
              <w:t>MultiSigFactory</w:t>
            </w:r>
          </w:p>
        </w:tc>
        <w:tc>
          <w:tcPr>
            <w:tcW w:w="2000" w:type="dxa"/>
            <w:tcBorders>
              <w:top w:val="single" w:sz="4" w:space="0" w:color="000000"/>
              <w:start w:val="single" w:sz="4" w:space="0" w:color="000000"/>
              <w:bottom w:val="single" w:sz="4" w:space="0" w:color="000000"/>
              <w:end w:val="single" w:sz="4" w:space="0" w:color="000000"/>
            </w:tcBorders>
            <w:shd w:color="auto" w:fill="E8F3EF" w:val="clear"/>
          </w:tcPr>
          <w:p>
            <w:pPr>
              <w:pStyle w:val="Normal"/>
              <w:jc w:val="start"/>
              <w:rPr/>
            </w:pPr>
            <w:r>
              <w:rPr>
                <w:rFonts w:eastAsia="Calibri" w:cs="Calibri" w:ascii="Calibri" w:hAnsi="Calibri"/>
                <w:b w:val="false"/>
                <w:bCs w:val="false"/>
                <w:color w:val="111111"/>
                <w:sz w:val="20"/>
                <w:szCs w:val="20"/>
              </w:rPr>
              <w:t>Deployer</w:t>
            </w:r>
          </w:p>
        </w:tc>
        <w:tc>
          <w:tcPr>
            <w:tcW w:w="3600" w:type="dxa"/>
            <w:tcBorders>
              <w:top w:val="single" w:sz="4" w:space="0" w:color="000000"/>
              <w:start w:val="single" w:sz="4" w:space="0" w:color="000000"/>
              <w:bottom w:val="single" w:sz="4" w:space="0" w:color="000000"/>
              <w:end w:val="single" w:sz="4" w:space="0" w:color="000000"/>
            </w:tcBorders>
            <w:shd w:color="auto" w:fill="E8F3EF" w:val="clear"/>
          </w:tcPr>
          <w:p>
            <w:pPr>
              <w:pStyle w:val="Normal"/>
              <w:jc w:val="start"/>
              <w:rPr/>
            </w:pPr>
            <w:r>
              <w:rPr>
                <w:rFonts w:eastAsia="Calibri" w:cs="Calibri" w:ascii="Calibri" w:hAnsi="Calibri"/>
                <w:b w:val="false"/>
                <w:bCs w:val="false"/>
                <w:color w:val="111111"/>
                <w:sz w:val="20"/>
                <w:szCs w:val="20"/>
              </w:rPr>
              <w:t>Deploys a paired Controller and Company Wallet for each new organization, and indexes them by creator and signer address.</w:t>
            </w:r>
          </w:p>
        </w:tc>
      </w:tr>
      <w:tr>
        <w:trPr/>
        <w:tc>
          <w:tcPr>
            <w:tcW w:w="2399"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rFonts w:eastAsia="Calibri" w:cs="Calibri" w:ascii="Calibri" w:hAnsi="Calibri"/>
                <w:b w:val="false"/>
                <w:bCs w:val="false"/>
                <w:color w:val="111111"/>
                <w:sz w:val="20"/>
                <w:szCs w:val="20"/>
              </w:rPr>
              <w:t>Brain</w:t>
            </w:r>
          </w:p>
        </w:tc>
        <w:tc>
          <w:tcPr>
            <w:tcW w:w="2601"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rFonts w:eastAsia="Calibri" w:cs="Calibri" w:ascii="Calibri" w:hAnsi="Calibri"/>
                <w:b w:val="false"/>
                <w:bCs w:val="false"/>
                <w:color w:val="111111"/>
                <w:sz w:val="20"/>
                <w:szCs w:val="20"/>
              </w:rPr>
              <w:t>MultiSigController</w:t>
            </w:r>
          </w:p>
        </w:tc>
        <w:tc>
          <w:tcPr>
            <w:tcW w:w="200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rFonts w:eastAsia="Calibri" w:cs="Calibri" w:ascii="Calibri" w:hAnsi="Calibri"/>
                <w:b w:val="false"/>
                <w:bCs w:val="false"/>
                <w:color w:val="111111"/>
                <w:sz w:val="20"/>
                <w:szCs w:val="20"/>
              </w:rPr>
              <w:t>Governance</w:t>
            </w:r>
          </w:p>
        </w:tc>
        <w:tc>
          <w:tcPr>
            <w:tcW w:w="360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rFonts w:eastAsia="Calibri" w:cs="Calibri" w:ascii="Calibri" w:hAnsi="Calibri"/>
                <w:b w:val="false"/>
                <w:bCs w:val="false"/>
                <w:color w:val="111111"/>
                <w:sz w:val="20"/>
                <w:szCs w:val="20"/>
              </w:rPr>
              <w:t>Tracks owners and their equity percentages, records confirmations, enforces the required-percentage threshold and timelock, and triggers execution.</w:t>
            </w:r>
          </w:p>
        </w:tc>
      </w:tr>
      <w:tr>
        <w:trPr/>
        <w:tc>
          <w:tcPr>
            <w:tcW w:w="2399" w:type="dxa"/>
            <w:tcBorders>
              <w:top w:val="single" w:sz="4" w:space="0" w:color="000000"/>
              <w:start w:val="single" w:sz="4" w:space="0" w:color="000000"/>
              <w:bottom w:val="single" w:sz="4" w:space="0" w:color="000000"/>
              <w:end w:val="single" w:sz="4" w:space="0" w:color="000000"/>
            </w:tcBorders>
            <w:shd w:color="auto" w:fill="E8F3EF" w:val="clear"/>
          </w:tcPr>
          <w:p>
            <w:pPr>
              <w:pStyle w:val="Normal"/>
              <w:jc w:val="start"/>
              <w:rPr/>
            </w:pPr>
            <w:r>
              <w:rPr>
                <w:rFonts w:eastAsia="Calibri" w:cs="Calibri" w:ascii="Calibri" w:hAnsi="Calibri"/>
                <w:b w:val="false"/>
                <w:bCs w:val="false"/>
                <w:color w:val="111111"/>
                <w:sz w:val="20"/>
                <w:szCs w:val="20"/>
              </w:rPr>
              <w:t>Vault</w:t>
            </w:r>
          </w:p>
        </w:tc>
        <w:tc>
          <w:tcPr>
            <w:tcW w:w="2601" w:type="dxa"/>
            <w:tcBorders>
              <w:top w:val="single" w:sz="4" w:space="0" w:color="000000"/>
              <w:start w:val="single" w:sz="4" w:space="0" w:color="000000"/>
              <w:bottom w:val="single" w:sz="4" w:space="0" w:color="000000"/>
              <w:end w:val="single" w:sz="4" w:space="0" w:color="000000"/>
            </w:tcBorders>
            <w:shd w:color="auto" w:fill="E8F3EF" w:val="clear"/>
          </w:tcPr>
          <w:p>
            <w:pPr>
              <w:pStyle w:val="Normal"/>
              <w:jc w:val="start"/>
              <w:rPr/>
            </w:pPr>
            <w:r>
              <w:rPr>
                <w:rFonts w:eastAsia="Calibri" w:cs="Calibri" w:ascii="Calibri" w:hAnsi="Calibri"/>
                <w:b w:val="false"/>
                <w:bCs w:val="false"/>
                <w:color w:val="111111"/>
                <w:sz w:val="20"/>
                <w:szCs w:val="20"/>
              </w:rPr>
              <w:t>CompanyWallet</w:t>
            </w:r>
          </w:p>
        </w:tc>
        <w:tc>
          <w:tcPr>
            <w:tcW w:w="2000" w:type="dxa"/>
            <w:tcBorders>
              <w:top w:val="single" w:sz="4" w:space="0" w:color="000000"/>
              <w:start w:val="single" w:sz="4" w:space="0" w:color="000000"/>
              <w:bottom w:val="single" w:sz="4" w:space="0" w:color="000000"/>
              <w:end w:val="single" w:sz="4" w:space="0" w:color="000000"/>
            </w:tcBorders>
            <w:shd w:color="auto" w:fill="E8F3EF" w:val="clear"/>
          </w:tcPr>
          <w:p>
            <w:pPr>
              <w:pStyle w:val="Normal"/>
              <w:jc w:val="start"/>
              <w:rPr/>
            </w:pPr>
            <w:r>
              <w:rPr>
                <w:rFonts w:eastAsia="Calibri" w:cs="Calibri" w:ascii="Calibri" w:hAnsi="Calibri"/>
                <w:b w:val="false"/>
                <w:bCs w:val="false"/>
                <w:color w:val="111111"/>
                <w:sz w:val="20"/>
                <w:szCs w:val="20"/>
              </w:rPr>
              <w:t>Custody</w:t>
            </w:r>
          </w:p>
        </w:tc>
        <w:tc>
          <w:tcPr>
            <w:tcW w:w="3600" w:type="dxa"/>
            <w:tcBorders>
              <w:top w:val="single" w:sz="4" w:space="0" w:color="000000"/>
              <w:start w:val="single" w:sz="4" w:space="0" w:color="000000"/>
              <w:bottom w:val="single" w:sz="4" w:space="0" w:color="000000"/>
              <w:end w:val="single" w:sz="4" w:space="0" w:color="000000"/>
            </w:tcBorders>
            <w:shd w:color="auto" w:fill="E8F3EF" w:val="clear"/>
          </w:tcPr>
          <w:p>
            <w:pPr>
              <w:pStyle w:val="Normal"/>
              <w:jc w:val="start"/>
              <w:rPr/>
            </w:pPr>
            <w:r>
              <w:rPr>
                <w:rFonts w:eastAsia="Calibri" w:cs="Calibri" w:ascii="Calibri" w:hAnsi="Calibri"/>
                <w:b w:val="false"/>
                <w:bCs w:val="false"/>
                <w:color w:val="111111"/>
                <w:sz w:val="20"/>
                <w:szCs w:val="20"/>
              </w:rPr>
              <w:t>Holds native gas tokens and ERC-20 assets. It has no independent decision-making logic and only executes calls forwarded by its linked Controller.</w:t>
            </w:r>
          </w:p>
        </w:tc>
      </w:tr>
    </w:tbl>
    <w:p>
      <w:pPr>
        <w:pStyle w:val="Normal"/>
        <w:spacing w:before="80" w:after="240"/>
        <w:jc w:val="center"/>
        <w:rPr/>
      </w:pPr>
      <w:r>
        <w:rPr>
          <w:i/>
          <w:iCs/>
          <w:color w:val="595959"/>
          <w:sz w:val="18"/>
          <w:szCs w:val="18"/>
        </w:rPr>
        <w:t>Table 1 — Core protocol components</w:t>
      </w:r>
    </w:p>
    <w:p>
      <w:pPr>
        <w:pStyle w:val="Heading3"/>
        <w:spacing w:before="240" w:after="120"/>
        <w:rPr/>
      </w:pPr>
      <w:r>
        <w:rPr>
          <w:b/>
          <w:bCs/>
          <w:color w:val="1B4D3E"/>
          <w:sz w:val="22"/>
          <w:szCs w:val="22"/>
        </w:rPr>
        <w:t>4.1 Why Separate the Brain from the Vault?</w:t>
      </w:r>
    </w:p>
    <w:p>
      <w:pPr>
        <w:pStyle w:val="Normal"/>
        <w:spacing w:lineRule="auto" w:line="300" w:before="0" w:after="200"/>
        <w:jc w:val="both"/>
        <w:rPr/>
      </w:pPr>
      <w:r>
        <w:rPr>
          <w:rFonts w:eastAsia="Calibri" w:cs="Calibri" w:ascii="Calibri" w:hAnsi="Calibri"/>
          <w:sz w:val="22"/>
          <w:szCs w:val="22"/>
        </w:rPr>
        <w:t>Isolating governance logic from asset storage means the rules that govern a treasury — who can sign, what threshold is required, how long a timelock lasts — can be inspected, audited, and reasoned about independently of the funds themselves. The Company Wallet's only obligation is to faithfully execute what its Controller instructs; it holds no opinion about who its owners are or how they voted.</w:t>
      </w:r>
    </w:p>
    <w:p>
      <w:pPr>
        <w:pStyle w:val="Heading3"/>
        <w:spacing w:before="240" w:after="120"/>
        <w:rPr/>
      </w:pPr>
      <w:r>
        <w:rPr>
          <w:b/>
          <w:bCs/>
          <w:color w:val="1B4D3E"/>
          <w:sz w:val="22"/>
          <w:szCs w:val="22"/>
        </w:rPr>
        <w:t>4.2 Deterministic Multi-Chain Addressing</w:t>
      </w:r>
    </w:p>
    <w:p>
      <w:pPr>
        <w:pStyle w:val="Normal"/>
        <w:spacing w:lineRule="auto" w:line="300" w:before="0" w:after="200"/>
        <w:jc w:val="both"/>
        <w:rPr/>
      </w:pPr>
      <w:r>
        <w:rPr>
          <w:rFonts w:eastAsia="Calibri" w:cs="Calibri" w:ascii="Calibri" w:hAnsi="Calibri"/>
          <w:sz w:val="22"/>
          <w:szCs w:val="22"/>
        </w:rPr>
        <w:t>The MultiSigFactory is deployed at the same address on every supported network. Because contract deployment through the factory follows a deterministic pattern, a signer verifying “is this the right treasury” only needs to check one address, regardless of which chain they are transacting on. This significantly reduces the risk of approving a transaction against a spoofed or incorrect contract.</w:t>
      </w:r>
    </w:p>
    <w:p>
      <w:pPr>
        <w:pStyle w:val="Heading1"/>
        <w:pBdr>
          <w:bottom w:val="single" w:sz="6" w:space="4" w:color="1B4D3E"/>
        </w:pBdr>
        <w:spacing w:before="480" w:after="240"/>
        <w:rPr/>
      </w:pPr>
      <w:r>
        <w:rPr>
          <w:b/>
          <w:bCs/>
          <w:color w:val="1B4D3E"/>
          <w:sz w:val="32"/>
          <w:szCs w:val="32"/>
        </w:rPr>
        <w:t>5. Weighted Governance Mechanics</w:t>
      </w:r>
    </w:p>
    <w:p>
      <w:pPr>
        <w:pStyle w:val="Normal"/>
        <w:spacing w:lineRule="auto" w:line="300" w:before="0" w:after="200"/>
        <w:jc w:val="both"/>
        <w:rPr/>
      </w:pPr>
      <w:r>
        <w:rPr>
          <w:rFonts w:eastAsia="Calibri" w:cs="Calibri" w:ascii="Calibri" w:hAnsi="Calibri"/>
          <w:sz w:val="22"/>
          <w:szCs w:val="22"/>
        </w:rPr>
        <w:t>Every signer (“owner”) on a Sigma treasury is assigned a name, an equity percentage, and a removability flag at treasury creation, or added later through a governance proposal. The sum of all owner percentages cannot exceed 100%.</w:t>
      </w:r>
    </w:p>
    <w:p>
      <w:pPr>
        <w:pStyle w:val="Heading3"/>
        <w:spacing w:before="240" w:after="120"/>
        <w:rPr/>
      </w:pPr>
      <w:r>
        <w:rPr>
          <w:b/>
          <w:bCs/>
          <w:color w:val="1B4D3E"/>
          <w:sz w:val="22"/>
          <w:szCs w:val="22"/>
        </w:rPr>
        <w:t>5.1 Confirmation Flow</w:t>
      </w:r>
    </w:p>
    <w:p>
      <w:pPr>
        <w:pStyle w:val="ListParagraph"/>
        <w:numPr>
          <w:ilvl w:val="0"/>
          <w:numId w:val="5"/>
        </w:numPr>
        <w:spacing w:lineRule="auto" w:line="281" w:before="0" w:after="120"/>
        <w:rPr/>
      </w:pPr>
      <w:r>
        <w:rPr>
          <w:rFonts w:eastAsia="Calibri" w:cs="Calibri" w:ascii="Calibri" w:hAnsi="Calibri"/>
          <w:sz w:val="22"/>
          <w:szCs w:val="22"/>
        </w:rPr>
        <w:t>An owner submits a transaction (a transfer, a DeFi swap, or a governance change). The submitter's own equity percentage is automatically counted as a confirmation.</w:t>
      </w:r>
    </w:p>
    <w:p>
      <w:pPr>
        <w:pStyle w:val="ListParagraph"/>
        <w:numPr>
          <w:ilvl w:val="0"/>
          <w:numId w:val="2"/>
        </w:numPr>
        <w:spacing w:lineRule="auto" w:line="281" w:before="0" w:after="120"/>
        <w:rPr/>
      </w:pPr>
      <w:r>
        <w:rPr>
          <w:rFonts w:eastAsia="Calibri" w:cs="Calibri" w:ascii="Calibri" w:hAnsi="Calibri"/>
          <w:sz w:val="22"/>
          <w:szCs w:val="22"/>
        </w:rPr>
        <w:t>Other owners review the pending proposal and call Confirm, adding their equity percentage to the running confirmation total. An owner who confirmed in error can Revoke before execution.</w:t>
      </w:r>
    </w:p>
    <w:p>
      <w:pPr>
        <w:pStyle w:val="ListParagraph"/>
        <w:numPr>
          <w:ilvl w:val="0"/>
          <w:numId w:val="2"/>
        </w:numPr>
        <w:spacing w:lineRule="auto" w:line="281" w:before="0" w:after="120"/>
        <w:rPr/>
      </w:pPr>
      <w:r>
        <w:rPr>
          <w:rFonts w:eastAsia="Calibri" w:cs="Calibri" w:ascii="Calibri" w:hAnsi="Calibri"/>
          <w:sz w:val="22"/>
          <w:szCs w:val="22"/>
        </w:rPr>
        <w:t>Once the cumulative confirmed percentage reaches the treasury's requiredPercentage, the transaction is marked confirmed and its timelock period begins.</w:t>
      </w:r>
    </w:p>
    <w:p>
      <w:pPr>
        <w:pStyle w:val="ListParagraph"/>
        <w:numPr>
          <w:ilvl w:val="0"/>
          <w:numId w:val="2"/>
        </w:numPr>
        <w:spacing w:lineRule="auto" w:line="281" w:before="0" w:after="120"/>
        <w:rPr/>
      </w:pPr>
      <w:r>
        <w:rPr>
          <w:rFonts w:eastAsia="Calibri" w:cs="Calibri" w:ascii="Calibri" w:hAnsi="Calibri"/>
          <w:sz w:val="22"/>
          <w:szCs w:val="22"/>
        </w:rPr>
        <w:t>After the timelock elapses, any owner can trigger execution. If the timelock is set to zero, execution happens automatically the moment the threshold is met.</w:t>
      </w:r>
    </w:p>
    <w:p>
      <w:pPr>
        <w:pStyle w:val="Heading3"/>
        <w:spacing w:before="240" w:after="120"/>
        <w:rPr/>
      </w:pPr>
      <w:r>
        <w:rPr>
          <w:b/>
          <w:bCs/>
          <w:color w:val="1B4D3E"/>
          <w:sz w:val="22"/>
          <w:szCs w:val="22"/>
        </w:rPr>
        <w:t>5.2 Worked Example</w:t>
      </w:r>
    </w:p>
    <w:p>
      <w:pPr>
        <w:pStyle w:val="Normal"/>
        <w:spacing w:lineRule="auto" w:line="300" w:before="0" w:after="200"/>
        <w:jc w:val="both"/>
        <w:rPr/>
      </w:pPr>
      <w:r>
        <w:rPr>
          <w:rFonts w:eastAsia="Calibri" w:cs="Calibri" w:ascii="Calibri" w:hAnsi="Calibri"/>
          <w:sz w:val="22"/>
          <w:szCs w:val="22"/>
        </w:rPr>
        <w:t>Consider a treasury with a required threshold of 51%, where the CEO holds 40% and the CFO holds 20%:</w:t>
      </w:r>
    </w:p>
    <w:tbl>
      <w:tblPr>
        <w:tblW w:w="8600" w:type="dxa"/>
        <w:jc w:val="start"/>
        <w:tblInd w:w="0" w:type="dxa"/>
        <w:tblLayout w:type="fixed"/>
        <w:tblCellMar>
          <w:top w:w="100" w:type="dxa"/>
          <w:start w:w="120" w:type="dxa"/>
          <w:bottom w:w="100" w:type="dxa"/>
          <w:end w:w="120" w:type="dxa"/>
        </w:tblCellMar>
      </w:tblPr>
      <w:tblGrid>
        <w:gridCol w:w="3200"/>
        <w:gridCol w:w="2599"/>
        <w:gridCol w:w="2801"/>
      </w:tblGrid>
      <w:tr>
        <w:trPr>
          <w:tblHeader w:val="true"/>
        </w:trPr>
        <w:tc>
          <w:tcPr>
            <w:tcW w:w="3200" w:type="dxa"/>
            <w:tcBorders>
              <w:top w:val="single" w:sz="4" w:space="0" w:color="000000"/>
              <w:start w:val="single" w:sz="4" w:space="0" w:color="000000"/>
              <w:bottom w:val="single" w:sz="4" w:space="0" w:color="000000"/>
              <w:end w:val="single" w:sz="4" w:space="0" w:color="000000"/>
            </w:tcBorders>
            <w:shd w:color="auto" w:fill="1B4D3E" w:val="clear"/>
          </w:tcPr>
          <w:p>
            <w:pPr>
              <w:pStyle w:val="Normal"/>
              <w:jc w:val="start"/>
              <w:rPr/>
            </w:pPr>
            <w:r>
              <w:rPr>
                <w:rFonts w:eastAsia="Calibri" w:cs="Calibri" w:ascii="Calibri" w:hAnsi="Calibri"/>
                <w:b/>
                <w:bCs/>
                <w:color w:val="FFFFFF"/>
                <w:sz w:val="20"/>
                <w:szCs w:val="20"/>
              </w:rPr>
              <w:t>Signer</w:t>
            </w:r>
          </w:p>
        </w:tc>
        <w:tc>
          <w:tcPr>
            <w:tcW w:w="2599" w:type="dxa"/>
            <w:tcBorders>
              <w:top w:val="single" w:sz="4" w:space="0" w:color="000000"/>
              <w:start w:val="single" w:sz="4" w:space="0" w:color="000000"/>
              <w:bottom w:val="single" w:sz="4" w:space="0" w:color="000000"/>
              <w:end w:val="single" w:sz="4" w:space="0" w:color="000000"/>
            </w:tcBorders>
            <w:shd w:color="auto" w:fill="1B4D3E" w:val="clear"/>
          </w:tcPr>
          <w:p>
            <w:pPr>
              <w:pStyle w:val="Normal"/>
              <w:jc w:val="start"/>
              <w:rPr/>
            </w:pPr>
            <w:r>
              <w:rPr>
                <w:rFonts w:eastAsia="Calibri" w:cs="Calibri" w:ascii="Calibri" w:hAnsi="Calibri"/>
                <w:b/>
                <w:bCs/>
                <w:color w:val="FFFFFF"/>
                <w:sz w:val="20"/>
                <w:szCs w:val="20"/>
              </w:rPr>
              <w:t>Equity Weight</w:t>
            </w:r>
          </w:p>
        </w:tc>
        <w:tc>
          <w:tcPr>
            <w:tcW w:w="2801" w:type="dxa"/>
            <w:tcBorders>
              <w:top w:val="single" w:sz="4" w:space="0" w:color="000000"/>
              <w:start w:val="single" w:sz="4" w:space="0" w:color="000000"/>
              <w:bottom w:val="single" w:sz="4" w:space="0" w:color="000000"/>
              <w:end w:val="single" w:sz="4" w:space="0" w:color="000000"/>
            </w:tcBorders>
            <w:shd w:color="auto" w:fill="1B4D3E" w:val="clear"/>
          </w:tcPr>
          <w:p>
            <w:pPr>
              <w:pStyle w:val="Normal"/>
              <w:jc w:val="start"/>
              <w:rPr/>
            </w:pPr>
            <w:r>
              <w:rPr>
                <w:rFonts w:eastAsia="Calibri" w:cs="Calibri" w:ascii="Calibri" w:hAnsi="Calibri"/>
                <w:b/>
                <w:bCs/>
                <w:color w:val="FFFFFF"/>
                <w:sz w:val="20"/>
                <w:szCs w:val="20"/>
              </w:rPr>
              <w:t>Status</w:t>
            </w:r>
          </w:p>
        </w:tc>
      </w:tr>
      <w:tr>
        <w:trPr/>
        <w:tc>
          <w:tcPr>
            <w:tcW w:w="3200" w:type="dxa"/>
            <w:tcBorders>
              <w:top w:val="single" w:sz="4" w:space="0" w:color="000000"/>
              <w:start w:val="single" w:sz="4" w:space="0" w:color="000000"/>
              <w:bottom w:val="single" w:sz="4" w:space="0" w:color="000000"/>
              <w:end w:val="single" w:sz="4" w:space="0" w:color="000000"/>
            </w:tcBorders>
            <w:shd w:color="auto" w:fill="E8F3EF" w:val="clear"/>
          </w:tcPr>
          <w:p>
            <w:pPr>
              <w:pStyle w:val="Normal"/>
              <w:jc w:val="start"/>
              <w:rPr/>
            </w:pPr>
            <w:r>
              <w:rPr>
                <w:rFonts w:eastAsia="Calibri" w:cs="Calibri" w:ascii="Calibri" w:hAnsi="Calibri"/>
                <w:b w:val="false"/>
                <w:bCs w:val="false"/>
                <w:color w:val="111111"/>
                <w:sz w:val="20"/>
                <w:szCs w:val="20"/>
              </w:rPr>
              <w:t>Owner A (CEO)</w:t>
            </w:r>
          </w:p>
        </w:tc>
        <w:tc>
          <w:tcPr>
            <w:tcW w:w="2599" w:type="dxa"/>
            <w:tcBorders>
              <w:top w:val="single" w:sz="4" w:space="0" w:color="000000"/>
              <w:start w:val="single" w:sz="4" w:space="0" w:color="000000"/>
              <w:bottom w:val="single" w:sz="4" w:space="0" w:color="000000"/>
              <w:end w:val="single" w:sz="4" w:space="0" w:color="000000"/>
            </w:tcBorders>
            <w:shd w:color="auto" w:fill="E8F3EF" w:val="clear"/>
          </w:tcPr>
          <w:p>
            <w:pPr>
              <w:pStyle w:val="Normal"/>
              <w:jc w:val="start"/>
              <w:rPr/>
            </w:pPr>
            <w:r>
              <w:rPr>
                <w:rFonts w:eastAsia="Calibri" w:cs="Calibri" w:ascii="Calibri" w:hAnsi="Calibri"/>
                <w:b w:val="false"/>
                <w:bCs w:val="false"/>
                <w:color w:val="111111"/>
                <w:sz w:val="20"/>
                <w:szCs w:val="20"/>
              </w:rPr>
              <w:t>40%</w:t>
            </w:r>
          </w:p>
        </w:tc>
        <w:tc>
          <w:tcPr>
            <w:tcW w:w="2801" w:type="dxa"/>
            <w:tcBorders>
              <w:top w:val="single" w:sz="4" w:space="0" w:color="000000"/>
              <w:start w:val="single" w:sz="4" w:space="0" w:color="000000"/>
              <w:bottom w:val="single" w:sz="4" w:space="0" w:color="000000"/>
              <w:end w:val="single" w:sz="4" w:space="0" w:color="000000"/>
            </w:tcBorders>
            <w:shd w:color="auto" w:fill="E8F3EF" w:val="clear"/>
          </w:tcPr>
          <w:p>
            <w:pPr>
              <w:pStyle w:val="Normal"/>
              <w:jc w:val="start"/>
              <w:rPr/>
            </w:pPr>
            <w:r>
              <w:rPr>
                <w:rFonts w:eastAsia="Calibri" w:cs="Calibri" w:ascii="Calibri" w:hAnsi="Calibri"/>
                <w:b w:val="false"/>
                <w:bCs w:val="false"/>
                <w:color w:val="111111"/>
                <w:sz w:val="20"/>
                <w:szCs w:val="20"/>
              </w:rPr>
              <w:t>Signed</w:t>
            </w:r>
          </w:p>
        </w:tc>
      </w:tr>
      <w:tr>
        <w:trPr/>
        <w:tc>
          <w:tcPr>
            <w:tcW w:w="320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rFonts w:eastAsia="Calibri" w:cs="Calibri" w:ascii="Calibri" w:hAnsi="Calibri"/>
                <w:b w:val="false"/>
                <w:bCs w:val="false"/>
                <w:color w:val="111111"/>
                <w:sz w:val="20"/>
                <w:szCs w:val="20"/>
              </w:rPr>
              <w:t>Owner B (CFO)</w:t>
            </w:r>
          </w:p>
        </w:tc>
        <w:tc>
          <w:tcPr>
            <w:tcW w:w="2599"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rFonts w:eastAsia="Calibri" w:cs="Calibri" w:ascii="Calibri" w:hAnsi="Calibri"/>
                <w:b w:val="false"/>
                <w:bCs w:val="false"/>
                <w:color w:val="111111"/>
                <w:sz w:val="20"/>
                <w:szCs w:val="20"/>
              </w:rPr>
              <w:t>20%</w:t>
            </w:r>
          </w:p>
        </w:tc>
        <w:tc>
          <w:tcPr>
            <w:tcW w:w="2801"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rFonts w:eastAsia="Calibri" w:cs="Calibri" w:ascii="Calibri" w:hAnsi="Calibri"/>
                <w:b w:val="false"/>
                <w:bCs w:val="false"/>
                <w:color w:val="111111"/>
                <w:sz w:val="20"/>
                <w:szCs w:val="20"/>
              </w:rPr>
              <w:t>Signed</w:t>
            </w:r>
          </w:p>
        </w:tc>
      </w:tr>
      <w:tr>
        <w:trPr/>
        <w:tc>
          <w:tcPr>
            <w:tcW w:w="3200" w:type="dxa"/>
            <w:tcBorders>
              <w:top w:val="single" w:sz="4" w:space="0" w:color="000000"/>
              <w:start w:val="single" w:sz="4" w:space="0" w:color="000000"/>
              <w:bottom w:val="single" w:sz="4" w:space="0" w:color="000000"/>
              <w:end w:val="single" w:sz="4" w:space="0" w:color="000000"/>
            </w:tcBorders>
            <w:shd w:color="auto" w:fill="E8F3EF" w:val="clear"/>
          </w:tcPr>
          <w:p>
            <w:pPr>
              <w:pStyle w:val="Normal"/>
              <w:jc w:val="start"/>
              <w:rPr/>
            </w:pPr>
            <w:r>
              <w:rPr>
                <w:rFonts w:eastAsia="Calibri" w:cs="Calibri" w:ascii="Calibri" w:hAnsi="Calibri"/>
                <w:b w:val="false"/>
                <w:bCs w:val="false"/>
                <w:color w:val="111111"/>
                <w:sz w:val="20"/>
                <w:szCs w:val="20"/>
              </w:rPr>
              <w:t>Total Weight</w:t>
            </w:r>
          </w:p>
        </w:tc>
        <w:tc>
          <w:tcPr>
            <w:tcW w:w="2599" w:type="dxa"/>
            <w:tcBorders>
              <w:top w:val="single" w:sz="4" w:space="0" w:color="000000"/>
              <w:start w:val="single" w:sz="4" w:space="0" w:color="000000"/>
              <w:bottom w:val="single" w:sz="4" w:space="0" w:color="000000"/>
              <w:end w:val="single" w:sz="4" w:space="0" w:color="000000"/>
            </w:tcBorders>
            <w:shd w:color="auto" w:fill="E8F3EF" w:val="clear"/>
          </w:tcPr>
          <w:p>
            <w:pPr>
              <w:pStyle w:val="Normal"/>
              <w:jc w:val="start"/>
              <w:rPr/>
            </w:pPr>
            <w:r>
              <w:rPr>
                <w:rFonts w:eastAsia="Calibri" w:cs="Calibri" w:ascii="Calibri" w:hAnsi="Calibri"/>
                <w:b w:val="false"/>
                <w:bCs w:val="false"/>
                <w:color w:val="111111"/>
                <w:sz w:val="20"/>
                <w:szCs w:val="20"/>
              </w:rPr>
              <w:t>60%</w:t>
            </w:r>
          </w:p>
        </w:tc>
        <w:tc>
          <w:tcPr>
            <w:tcW w:w="2801" w:type="dxa"/>
            <w:tcBorders>
              <w:top w:val="single" w:sz="4" w:space="0" w:color="000000"/>
              <w:start w:val="single" w:sz="4" w:space="0" w:color="000000"/>
              <w:bottom w:val="single" w:sz="4" w:space="0" w:color="000000"/>
              <w:end w:val="single" w:sz="4" w:space="0" w:color="000000"/>
            </w:tcBorders>
            <w:shd w:color="auto" w:fill="E8F3EF" w:val="clear"/>
          </w:tcPr>
          <w:p>
            <w:pPr>
              <w:pStyle w:val="Normal"/>
              <w:jc w:val="start"/>
              <w:rPr/>
            </w:pPr>
            <w:r>
              <w:rPr>
                <w:rFonts w:eastAsia="Calibri" w:cs="Calibri" w:ascii="Calibri" w:hAnsi="Calibri"/>
                <w:b w:val="false"/>
                <w:bCs w:val="false"/>
                <w:color w:val="111111"/>
                <w:sz w:val="20"/>
                <w:szCs w:val="20"/>
              </w:rPr>
              <w:t>Threshold passed (≥51%)</w:t>
            </w:r>
          </w:p>
        </w:tc>
      </w:tr>
    </w:tbl>
    <w:p>
      <w:pPr>
        <w:pStyle w:val="Normal"/>
        <w:spacing w:before="80" w:after="240"/>
        <w:jc w:val="center"/>
        <w:rPr/>
      </w:pPr>
      <w:r>
        <w:rPr>
          <w:i/>
          <w:iCs/>
          <w:color w:val="595959"/>
          <w:sz w:val="18"/>
          <w:szCs w:val="18"/>
        </w:rPr>
        <w:t>Table 2 — Weighted approval example</w:t>
      </w:r>
    </w:p>
    <w:p>
      <w:pPr>
        <w:pStyle w:val="Normal"/>
        <w:spacing w:lineRule="auto" w:line="300" w:before="0" w:after="200"/>
        <w:jc w:val="both"/>
        <w:rPr/>
      </w:pPr>
      <w:r>
        <w:rPr>
          <w:rFonts w:eastAsia="Calibri" w:cs="Calibri" w:ascii="Calibri" w:hAnsi="Calibri"/>
          <w:sz w:val="22"/>
          <w:szCs w:val="22"/>
        </w:rPr>
        <w:t>The CEO and CFO combined exceed the 51% threshold and the transaction proceeds, even though two of potentially several owners approved it. A pair of 20%-holding minority owners acting together, by contrast, would not reach threshold without a third signer, mirroring how equity-weighted board decisions work in traditional corporate governance.</w:t>
      </w:r>
    </w:p>
    <w:p>
      <w:pPr>
        <w:pStyle w:val="Heading3"/>
        <w:spacing w:before="240" w:after="120"/>
        <w:rPr/>
      </w:pPr>
      <w:r>
        <w:rPr>
          <w:b/>
          <w:bCs/>
          <w:color w:val="1B4D3E"/>
          <w:sz w:val="22"/>
          <w:szCs w:val="22"/>
        </w:rPr>
        <w:t>5.3 Governance-Adjustable Parameters</w:t>
      </w:r>
    </w:p>
    <w:p>
      <w:pPr>
        <w:pStyle w:val="Normal"/>
        <w:spacing w:lineRule="auto" w:line="300" w:before="0" w:after="200"/>
        <w:jc w:val="both"/>
        <w:rPr/>
      </w:pPr>
      <w:r>
        <w:rPr>
          <w:rFonts w:eastAsia="Calibri" w:cs="Calibri" w:ascii="Calibri" w:hAnsi="Calibri"/>
          <w:sz w:val="22"/>
          <w:szCs w:val="22"/>
        </w:rPr>
        <w:t>Every core governance parameter is itself changeable only through the same weighted-proposal flow — no single owner, including the original deployer, can unilaterally alter voting rules once a treasury is live.</w:t>
      </w:r>
    </w:p>
    <w:p>
      <w:pPr>
        <w:pStyle w:val="ListParagraph"/>
        <w:numPr>
          <w:ilvl w:val="0"/>
          <w:numId w:val="1"/>
        </w:numPr>
        <w:spacing w:lineRule="auto" w:line="281" w:before="0" w:after="120"/>
        <w:rPr/>
      </w:pPr>
      <w:r>
        <w:rPr>
          <w:rFonts w:eastAsia="Calibri" w:cs="Calibri" w:ascii="Calibri" w:hAnsi="Calibri"/>
          <w:sz w:val="22"/>
          <w:szCs w:val="22"/>
        </w:rPr>
        <w:t>Required Percentage — the minimum cumulative equity needed to approve any proposal.</w:t>
      </w:r>
    </w:p>
    <w:p>
      <w:pPr>
        <w:pStyle w:val="ListParagraph"/>
        <w:numPr>
          <w:ilvl w:val="0"/>
          <w:numId w:val="1"/>
        </w:numPr>
        <w:spacing w:lineRule="auto" w:line="281" w:before="0" w:after="120"/>
        <w:rPr/>
      </w:pPr>
      <w:r>
        <w:rPr>
          <w:rFonts w:eastAsia="Calibri" w:cs="Calibri" w:ascii="Calibri" w:hAnsi="Calibri"/>
          <w:sz w:val="22"/>
          <w:szCs w:val="22"/>
        </w:rPr>
        <w:t>Timelock Period — the mandatory delay between approval and execution.</w:t>
      </w:r>
    </w:p>
    <w:p>
      <w:pPr>
        <w:pStyle w:val="ListParagraph"/>
        <w:numPr>
          <w:ilvl w:val="0"/>
          <w:numId w:val="1"/>
        </w:numPr>
        <w:spacing w:lineRule="auto" w:line="281" w:before="0" w:after="120"/>
        <w:rPr/>
      </w:pPr>
      <w:r>
        <w:rPr>
          <w:rFonts w:eastAsia="Calibri" w:cs="Calibri" w:ascii="Calibri" w:hAnsi="Calibri"/>
          <w:sz w:val="22"/>
          <w:szCs w:val="22"/>
        </w:rPr>
        <w:t>Expiry Period — how long a proposal remains valid before it lapses.</w:t>
      </w:r>
    </w:p>
    <w:p>
      <w:pPr>
        <w:pStyle w:val="ListParagraph"/>
        <w:numPr>
          <w:ilvl w:val="0"/>
          <w:numId w:val="1"/>
        </w:numPr>
        <w:spacing w:lineRule="auto" w:line="281" w:before="0" w:after="120"/>
        <w:rPr/>
      </w:pPr>
      <w:r>
        <w:rPr>
          <w:rFonts w:eastAsia="Calibri" w:cs="Calibri" w:ascii="Calibri" w:hAnsi="Calibri"/>
          <w:sz w:val="22"/>
          <w:szCs w:val="22"/>
        </w:rPr>
        <w:t>Minimum Owners — the floor below which the owner set cannot shrink, protecting against a treasury being reduced to a single controlling signer.</w:t>
      </w:r>
    </w:p>
    <w:p>
      <w:pPr>
        <w:pStyle w:val="ListParagraph"/>
        <w:numPr>
          <w:ilvl w:val="0"/>
          <w:numId w:val="1"/>
        </w:numPr>
        <w:spacing w:lineRule="auto" w:line="281" w:before="0" w:after="120"/>
        <w:rPr/>
      </w:pPr>
      <w:r>
        <w:rPr>
          <w:rFonts w:eastAsia="Calibri" w:cs="Calibri" w:ascii="Calibri" w:hAnsi="Calibri"/>
          <w:sz w:val="22"/>
          <w:szCs w:val="22"/>
        </w:rPr>
        <w:t>Owner Set — adding new signers (with an assigned equity percentage) is itself a proposal requiring the standard threshold to pass.</w:t>
      </w:r>
    </w:p>
    <w:p>
      <w:pPr>
        <w:pStyle w:val="Heading1"/>
        <w:pBdr>
          <w:bottom w:val="single" w:sz="6" w:space="4" w:color="1B4D3E"/>
        </w:pBdr>
        <w:spacing w:before="480" w:after="240"/>
        <w:rPr/>
      </w:pPr>
      <w:r>
        <w:rPr>
          <w:b/>
          <w:bCs/>
          <w:color w:val="1B4D3E"/>
          <w:sz w:val="32"/>
          <w:szCs w:val="32"/>
        </w:rPr>
        <w:t>6. Security Guardrails</w:t>
      </w:r>
    </w:p>
    <w:p>
      <w:pPr>
        <w:pStyle w:val="Heading3"/>
        <w:spacing w:before="240" w:after="120"/>
        <w:rPr/>
      </w:pPr>
      <w:r>
        <w:rPr>
          <w:b/>
          <w:bCs/>
          <w:color w:val="1B4D3E"/>
          <w:sz w:val="22"/>
          <w:szCs w:val="22"/>
        </w:rPr>
        <w:t>6.1 Execution Timelock</w:t>
      </w:r>
    </w:p>
    <w:p>
      <w:pPr>
        <w:pStyle w:val="Normal"/>
        <w:spacing w:lineRule="auto" w:line="300" w:before="0" w:after="200"/>
        <w:jc w:val="both"/>
        <w:rPr/>
      </w:pPr>
      <w:r>
        <w:rPr>
          <w:rFonts w:eastAsia="Calibri" w:cs="Calibri" w:ascii="Calibri" w:hAnsi="Calibri"/>
          <w:sz w:val="22"/>
          <w:szCs w:val="22"/>
        </w:rPr>
        <w:t>A mandatory delay period is enforced between a proposal reaching threshold and its execution. This window allows owners to review, or revoke, a high-value transfer before funds actually move — particularly valuable if a signer's key is later found to be compromised.</w:t>
      </w:r>
    </w:p>
    <w:p>
      <w:pPr>
        <w:pStyle w:val="Heading3"/>
        <w:spacing w:before="240" w:after="120"/>
        <w:rPr/>
      </w:pPr>
      <w:r>
        <w:rPr>
          <w:b/>
          <w:bCs/>
          <w:color w:val="1B4D3E"/>
          <w:sz w:val="22"/>
          <w:szCs w:val="22"/>
        </w:rPr>
        <w:t>6.2 Proposal Expiry</w:t>
      </w:r>
    </w:p>
    <w:p>
      <w:pPr>
        <w:pStyle w:val="Normal"/>
        <w:spacing w:lineRule="auto" w:line="300" w:before="0" w:after="200"/>
        <w:jc w:val="both"/>
        <w:rPr/>
      </w:pPr>
      <w:r>
        <w:rPr>
          <w:rFonts w:eastAsia="Calibri" w:cs="Calibri" w:ascii="Calibri" w:hAnsi="Calibri"/>
          <w:sz w:val="22"/>
          <w:szCs w:val="22"/>
        </w:rPr>
        <w:t>Every submitted proposal carries a timestamp. If it fails to reach the required threshold within the treasury's configured expiry period, it can no longer be confirmed or executed, keeping the pending-transaction queue clean of stale requests.</w:t>
      </w:r>
    </w:p>
    <w:p>
      <w:pPr>
        <w:pStyle w:val="Heading3"/>
        <w:spacing w:before="240" w:after="120"/>
        <w:rPr/>
      </w:pPr>
      <w:r>
        <w:rPr>
          <w:b/>
          <w:bCs/>
          <w:color w:val="1B4D3E"/>
          <w:sz w:val="22"/>
          <w:szCs w:val="22"/>
        </w:rPr>
        <w:t>6.3 Creator Exclusion</w:t>
      </w:r>
    </w:p>
    <w:p>
      <w:pPr>
        <w:pStyle w:val="Normal"/>
        <w:spacing w:lineRule="auto" w:line="300" w:before="0" w:after="200"/>
        <w:jc w:val="both"/>
        <w:rPr/>
      </w:pPr>
      <w:r>
        <w:rPr>
          <w:rFonts w:eastAsia="Calibri" w:cs="Calibri" w:ascii="Calibri" w:hAnsi="Calibri"/>
          <w:sz w:val="22"/>
          <w:szCs w:val="22"/>
        </w:rPr>
        <w:t>The address that deploys a treasury cannot itself be one of the initial equity-holding signers. This structurally separates the act of deployment from the act of governance from day one.</w:t>
      </w:r>
    </w:p>
    <w:p>
      <w:pPr>
        <w:pStyle w:val="Heading3"/>
        <w:spacing w:before="240" w:after="120"/>
        <w:rPr/>
      </w:pPr>
      <w:r>
        <w:rPr>
          <w:b/>
          <w:bCs/>
          <w:color w:val="1B4D3E"/>
          <w:sz w:val="22"/>
          <w:szCs w:val="22"/>
        </w:rPr>
        <w:t>6.4 Emergency Pause</w:t>
      </w:r>
    </w:p>
    <w:p>
      <w:pPr>
        <w:pStyle w:val="Normal"/>
        <w:spacing w:lineRule="auto" w:line="300" w:before="0" w:after="200"/>
        <w:jc w:val="both"/>
        <w:rPr/>
      </w:pPr>
      <w:r>
        <w:rPr>
          <w:rFonts w:eastAsia="Calibri" w:cs="Calibri" w:ascii="Calibri" w:hAnsi="Calibri"/>
          <w:sz w:val="22"/>
          <w:szCs w:val="22"/>
        </w:rPr>
        <w:t>The original deployer retains a narrowly scoped ability to pause the Controller in the event of suspicious activity, blocking new confirmations and executions while the situation is investigated. Paused state does not grant the deployer any additional custody rights over the vault.</w:t>
      </w:r>
    </w:p>
    <w:p>
      <w:pPr>
        <w:pStyle w:val="Heading3"/>
        <w:spacing w:before="240" w:after="120"/>
        <w:rPr/>
      </w:pPr>
      <w:r>
        <w:rPr>
          <w:b/>
          <w:bCs/>
          <w:color w:val="1B4D3E"/>
          <w:sz w:val="22"/>
          <w:szCs w:val="22"/>
        </w:rPr>
        <w:t>6.5 Reentrancy Protection</w:t>
      </w:r>
    </w:p>
    <w:p>
      <w:pPr>
        <w:pStyle w:val="Normal"/>
        <w:spacing w:lineRule="auto" w:line="300" w:before="0" w:after="200"/>
        <w:jc w:val="both"/>
        <w:rPr/>
      </w:pPr>
      <w:r>
        <w:rPr>
          <w:rFonts w:eastAsia="Calibri" w:cs="Calibri" w:ascii="Calibri" w:hAnsi="Calibri"/>
          <w:sz w:val="22"/>
          <w:szCs w:val="22"/>
        </w:rPr>
        <w:t>Both the Controller and the Company Wallet inherit OpenZeppelin's ReentrancyGuard on all state-changing execution paths, preventing a malicious call target from re-entering the protocol mid-execution.</w:t>
      </w:r>
    </w:p>
    <w:p>
      <w:pPr>
        <w:pStyle w:val="Heading3"/>
        <w:spacing w:before="240" w:after="120"/>
        <w:rPr/>
      </w:pPr>
      <w:r>
        <w:rPr>
          <w:b/>
          <w:bCs/>
          <w:color w:val="1B4D3E"/>
          <w:sz w:val="22"/>
          <w:szCs w:val="22"/>
        </w:rPr>
        <w:t>6.6 Recommended Operating Practices</w:t>
      </w:r>
    </w:p>
    <w:p>
      <w:pPr>
        <w:pStyle w:val="ListParagraph"/>
        <w:numPr>
          <w:ilvl w:val="0"/>
          <w:numId w:val="1"/>
        </w:numPr>
        <w:spacing w:lineRule="auto" w:line="281" w:before="0" w:after="120"/>
        <w:rPr/>
      </w:pPr>
      <w:r>
        <w:rPr>
          <w:rFonts w:eastAsia="Calibri" w:cs="Calibri" w:ascii="Calibri" w:hAnsi="Calibri"/>
          <w:sz w:val="22"/>
          <w:szCs w:val="22"/>
        </w:rPr>
        <w:t>Always verify the treasury's Controller and Vault addresses before sending funds, especially when operating across multiple chains.</w:t>
      </w:r>
    </w:p>
    <w:p>
      <w:pPr>
        <w:pStyle w:val="ListParagraph"/>
        <w:numPr>
          <w:ilvl w:val="0"/>
          <w:numId w:val="1"/>
        </w:numPr>
        <w:spacing w:lineRule="auto" w:line="281" w:before="0" w:after="120"/>
        <w:rPr/>
      </w:pPr>
      <w:r>
        <w:rPr>
          <w:rFonts w:eastAsia="Calibri" w:cs="Calibri" w:ascii="Calibri" w:hAnsi="Calibri"/>
          <w:sz w:val="22"/>
          <w:szCs w:val="22"/>
        </w:rPr>
        <w:t>Rotate a signer's equity to a fresh address immediately if a private key is suspected to be compromised.</w:t>
      </w:r>
    </w:p>
    <w:p>
      <w:pPr>
        <w:pStyle w:val="ListParagraph"/>
        <w:numPr>
          <w:ilvl w:val="0"/>
          <w:numId w:val="1"/>
        </w:numPr>
        <w:spacing w:lineRule="auto" w:line="281" w:before="0" w:after="120"/>
        <w:rPr/>
      </w:pPr>
      <w:r>
        <w:rPr>
          <w:rFonts w:eastAsia="Calibri" w:cs="Calibri" w:ascii="Calibri" w:hAnsi="Calibri"/>
          <w:sz w:val="22"/>
          <w:szCs w:val="22"/>
        </w:rPr>
        <w:t>Use a timelock of at least 24 hours for treasuries holding significant value.</w:t>
      </w:r>
    </w:p>
    <w:p>
      <w:pPr>
        <w:pStyle w:val="ListParagraph"/>
        <w:numPr>
          <w:ilvl w:val="0"/>
          <w:numId w:val="1"/>
        </w:numPr>
        <w:spacing w:lineRule="auto" w:line="281" w:before="0" w:after="120"/>
        <w:rPr/>
      </w:pPr>
      <w:r>
        <w:rPr>
          <w:rFonts w:eastAsia="Calibri" w:cs="Calibri" w:ascii="Calibri" w:hAnsi="Calibri"/>
          <w:sz w:val="22"/>
          <w:szCs w:val="22"/>
        </w:rPr>
        <w:t>Reserve the pause function for genuine suspicious-activity events, and communicate any pause to all signers immediately.</w:t>
      </w:r>
    </w:p>
    <w:p>
      <w:pPr>
        <w:pStyle w:val="Heading1"/>
        <w:pBdr>
          <w:bottom w:val="single" w:sz="6" w:space="4" w:color="1B4D3E"/>
        </w:pBdr>
        <w:spacing w:before="480" w:after="240"/>
        <w:rPr/>
      </w:pPr>
      <w:r>
        <w:rPr>
          <w:b/>
          <w:bCs/>
          <w:color w:val="1B4D3E"/>
          <w:sz w:val="32"/>
          <w:szCs w:val="32"/>
        </w:rPr>
        <w:t>7. Batch Operations</w:t>
      </w:r>
    </w:p>
    <w:p>
      <w:pPr>
        <w:pStyle w:val="Normal"/>
        <w:spacing w:lineRule="auto" w:line="300" w:before="0" w:after="200"/>
        <w:jc w:val="both"/>
        <w:rPr/>
      </w:pPr>
      <w:r>
        <w:rPr>
          <w:rFonts w:eastAsia="Calibri" w:cs="Calibri" w:ascii="Calibri" w:hAnsi="Calibri"/>
          <w:sz w:val="22"/>
          <w:szCs w:val="22"/>
        </w:rPr>
        <w:t>High-volume disbursements — payroll runs, investor distributions, and community airdrops — are natively supported through CSV-driven batch proposals.</w:t>
      </w:r>
    </w:p>
    <w:p>
      <w:pPr>
        <w:pStyle w:val="Heading3"/>
        <w:spacing w:before="240" w:after="120"/>
        <w:rPr/>
      </w:pPr>
      <w:r>
        <w:rPr>
          <w:b/>
          <w:bCs/>
          <w:color w:val="1B4D3E"/>
          <w:sz w:val="22"/>
          <w:szCs w:val="22"/>
        </w:rPr>
        <w:t>7.1 Workflow</w:t>
      </w:r>
    </w:p>
    <w:p>
      <w:pPr>
        <w:pStyle w:val="ListParagraph"/>
        <w:numPr>
          <w:ilvl w:val="0"/>
          <w:numId w:val="2"/>
        </w:numPr>
        <w:spacing w:lineRule="auto" w:line="281" w:before="0" w:after="120"/>
        <w:rPr/>
      </w:pPr>
      <w:r>
        <w:rPr>
          <w:rFonts w:eastAsia="Calibri" w:cs="Calibri" w:ascii="Calibri" w:hAnsi="Calibri"/>
          <w:sz w:val="22"/>
          <w:szCs w:val="22"/>
        </w:rPr>
        <w:t>An owner uploads a CSV file in the format address,amount (a template is available directly from the dashboard).</w:t>
      </w:r>
    </w:p>
    <w:p>
      <w:pPr>
        <w:pStyle w:val="ListParagraph"/>
        <w:numPr>
          <w:ilvl w:val="0"/>
          <w:numId w:val="2"/>
        </w:numPr>
        <w:spacing w:lineRule="auto" w:line="281" w:before="0" w:after="120"/>
        <w:rPr/>
      </w:pPr>
      <w:r>
        <w:rPr>
          <w:rFonts w:eastAsia="Calibri" w:cs="Calibri" w:ascii="Calibri" w:hAnsi="Calibri"/>
          <w:sz w:val="22"/>
          <w:szCs w:val="22"/>
        </w:rPr>
        <w:t>The dashboard parses the file client-side and displays the total recipient count and aggregate amount for review before submission.</w:t>
      </w:r>
    </w:p>
    <w:p>
      <w:pPr>
        <w:pStyle w:val="ListParagraph"/>
        <w:numPr>
          <w:ilvl w:val="0"/>
          <w:numId w:val="2"/>
        </w:numPr>
        <w:spacing w:lineRule="auto" w:line="281" w:before="0" w:after="120"/>
        <w:rPr/>
      </w:pPr>
      <w:r>
        <w:rPr>
          <w:rFonts w:eastAsia="Calibri" w:cs="Calibri" w:ascii="Calibri" w:hAnsi="Calibri"/>
          <w:sz w:val="22"/>
          <w:szCs w:val="22"/>
        </w:rPr>
        <w:t>The batch is submitted as a single proposal — either equal amounts to every recipient or individually specified amounts per recipient — requiring only one round of weighted confirmations.</w:t>
      </w:r>
    </w:p>
    <w:p>
      <w:pPr>
        <w:pStyle w:val="ListParagraph"/>
        <w:numPr>
          <w:ilvl w:val="0"/>
          <w:numId w:val="2"/>
        </w:numPr>
        <w:spacing w:lineRule="auto" w:line="281" w:before="0" w:after="120"/>
        <w:rPr/>
      </w:pPr>
      <w:r>
        <w:rPr>
          <w:rFonts w:eastAsia="Calibri" w:cs="Calibri" w:ascii="Calibri" w:hAnsi="Calibri"/>
          <w:sz w:val="22"/>
          <w:szCs w:val="22"/>
        </w:rPr>
        <w:t>On execution, the Company Wallet iterates through the recipient list, sending either native gas tokens or a specified ERC-20 token to each address, and emits a single BatchTransferExecuted event summarizing the successful transfers and total value sent.</w:t>
      </w:r>
    </w:p>
    <w:p>
      <w:pPr>
        <w:pStyle w:val="Heading3"/>
        <w:spacing w:before="240" w:after="120"/>
        <w:rPr/>
      </w:pPr>
      <w:r>
        <w:rPr>
          <w:b/>
          <w:bCs/>
          <w:color w:val="1B4D3E"/>
          <w:sz w:val="22"/>
          <w:szCs w:val="22"/>
        </w:rPr>
        <w:t>7.2 Fault Tolerance</w:t>
      </w:r>
    </w:p>
    <w:p>
      <w:pPr>
        <w:pStyle w:val="Normal"/>
        <w:spacing w:lineRule="auto" w:line="300" w:before="0" w:after="200"/>
        <w:jc w:val="both"/>
        <w:rPr/>
      </w:pPr>
      <w:r>
        <w:rPr>
          <w:rFonts w:eastAsia="Calibri" w:cs="Calibri" w:ascii="Calibri" w:hAnsi="Calibri"/>
          <w:sz w:val="22"/>
          <w:szCs w:val="22"/>
        </w:rPr>
        <w:t>Individual transfer failures within a batch (for example, a recipient contract that rejects incoming transfers) do not revert the entire batch. The Company Wallet tracks and reports the count of successful transfers, so a small number of failed recipients does not block payment to the rest of the batch.</w:t>
      </w:r>
    </w:p>
    <w:p>
      <w:pPr>
        <w:pStyle w:val="Heading1"/>
        <w:pBdr>
          <w:bottom w:val="single" w:sz="6" w:space="4" w:color="1B4D3E"/>
        </w:pBdr>
        <w:spacing w:before="480" w:after="240"/>
        <w:rPr/>
      </w:pPr>
      <w:r>
        <w:rPr>
          <w:b/>
          <w:bCs/>
          <w:color w:val="1B4D3E"/>
          <w:sz w:val="32"/>
          <w:szCs w:val="32"/>
        </w:rPr>
        <w:t>8. DeFi Integration</w:t>
      </w:r>
    </w:p>
    <w:p>
      <w:pPr>
        <w:pStyle w:val="Normal"/>
        <w:spacing w:lineRule="auto" w:line="300" w:before="0" w:after="200"/>
        <w:jc w:val="both"/>
        <w:rPr/>
      </w:pPr>
      <w:r>
        <w:rPr>
          <w:rFonts w:eastAsia="Calibri" w:cs="Calibri" w:ascii="Calibri" w:hAnsi="Calibri"/>
          <w:sz w:val="22"/>
          <w:szCs w:val="22"/>
        </w:rPr>
        <w:t>Sigma treasuries can interact directly with decentralized exchanges without owners needing to hand-construct calldata.</w:t>
      </w:r>
    </w:p>
    <w:p>
      <w:pPr>
        <w:pStyle w:val="ListParagraph"/>
        <w:numPr>
          <w:ilvl w:val="0"/>
          <w:numId w:val="1"/>
        </w:numPr>
        <w:spacing w:lineRule="auto" w:line="281" w:before="0" w:after="120"/>
        <w:rPr/>
      </w:pPr>
      <w:r>
        <w:rPr>
          <w:rFonts w:eastAsia="Calibri" w:cs="Calibri" w:ascii="Calibri" w:hAnsi="Calibri"/>
          <w:sz w:val="22"/>
          <w:szCs w:val="22"/>
        </w:rPr>
        <w:t>Dynamic Routing — the dashboard automatically resolves the canonical DEX router for the treasury's currently connected network (for example, Uniswap on Base and Arbitrum, or Ubeswap on Celo).</w:t>
      </w:r>
    </w:p>
    <w:p>
      <w:pPr>
        <w:pStyle w:val="ListParagraph"/>
        <w:numPr>
          <w:ilvl w:val="0"/>
          <w:numId w:val="1"/>
        </w:numPr>
        <w:spacing w:lineRule="auto" w:line="281" w:before="0" w:after="120"/>
        <w:rPr/>
      </w:pPr>
      <w:r>
        <w:rPr>
          <w:rFonts w:eastAsia="Calibri" w:cs="Calibri" w:ascii="Calibri" w:hAnsi="Calibri"/>
          <w:sz w:val="22"/>
          <w:szCs w:val="22"/>
        </w:rPr>
        <w:t>Calldata Generation — selecting a token pair and amount auto-encodes the corresponding swapExactTokensForTokens call, which is then submitted as a standard weighted proposal like any other transaction.</w:t>
      </w:r>
    </w:p>
    <w:p>
      <w:pPr>
        <w:pStyle w:val="ListParagraph"/>
        <w:numPr>
          <w:ilvl w:val="0"/>
          <w:numId w:val="1"/>
        </w:numPr>
        <w:spacing w:lineRule="auto" w:line="281" w:before="0" w:after="120"/>
        <w:rPr/>
      </w:pPr>
      <w:r>
        <w:rPr>
          <w:rFonts w:eastAsia="Calibri" w:cs="Calibri" w:ascii="Calibri" w:hAnsi="Calibri"/>
          <w:sz w:val="22"/>
          <w:szCs w:val="22"/>
        </w:rPr>
        <w:t>Approval Awareness — the interface flags when a standard ERC-20 Approve transaction is required before a swap can execute, since the router must be authorized to spend the treasury's tokens.</w:t>
      </w:r>
    </w:p>
    <w:p>
      <w:pPr>
        <w:pStyle w:val="Normal"/>
        <w:spacing w:lineRule="auto" w:line="300" w:before="0" w:after="200"/>
        <w:jc w:val="both"/>
        <w:rPr/>
      </w:pPr>
      <w:r>
        <w:rPr>
          <w:rFonts w:eastAsia="Calibri" w:cs="Calibri" w:ascii="Calibri" w:hAnsi="Calibri"/>
          <w:sz w:val="22"/>
          <w:szCs w:val="22"/>
        </w:rPr>
        <w:t>Because every swap is itself a weighted proposal, treasury rebalancing through DeFi is subject to exactly the same equity-based approval and timelock rules as a direct transfer.</w:t>
      </w:r>
    </w:p>
    <w:p>
      <w:pPr>
        <w:pStyle w:val="Heading1"/>
        <w:pBdr>
          <w:bottom w:val="single" w:sz="6" w:space="4" w:color="1B4D3E"/>
        </w:pBdr>
        <w:spacing w:before="480" w:after="240"/>
        <w:rPr/>
      </w:pPr>
      <w:r>
        <w:rPr>
          <w:b/>
          <w:bCs/>
          <w:color w:val="1B4D3E"/>
          <w:sz w:val="32"/>
          <w:szCs w:val="32"/>
        </w:rPr>
        <w:t>9. Supported Assets &amp; Networks</w:t>
      </w:r>
    </w:p>
    <w:p>
      <w:pPr>
        <w:pStyle w:val="Normal"/>
        <w:spacing w:lineRule="auto" w:line="300" w:before="0" w:after="200"/>
        <w:jc w:val="both"/>
        <w:rPr/>
      </w:pPr>
      <w:r>
        <w:rPr>
          <w:rFonts w:eastAsia="Calibri" w:cs="Calibri" w:ascii="Calibri" w:hAnsi="Calibri"/>
          <w:sz w:val="22"/>
          <w:szCs w:val="22"/>
        </w:rPr>
        <w:t>Sigma is deployed across multiple EVM-compatible testnets today, with each network's canonical stable and wrapped-native assets mapped directly into the dashboard's transfer and swap flows.</w:t>
      </w:r>
    </w:p>
    <w:tbl>
      <w:tblPr>
        <w:tblW w:w="8800" w:type="dxa"/>
        <w:jc w:val="start"/>
        <w:tblInd w:w="0" w:type="dxa"/>
        <w:tblLayout w:type="fixed"/>
        <w:tblCellMar>
          <w:top w:w="100" w:type="dxa"/>
          <w:start w:w="120" w:type="dxa"/>
          <w:bottom w:w="100" w:type="dxa"/>
          <w:end w:w="120" w:type="dxa"/>
        </w:tblCellMar>
      </w:tblPr>
      <w:tblGrid>
        <w:gridCol w:w="2800"/>
        <w:gridCol w:w="2200"/>
        <w:gridCol w:w="3800"/>
      </w:tblGrid>
      <w:tr>
        <w:trPr>
          <w:tblHeader w:val="true"/>
        </w:trPr>
        <w:tc>
          <w:tcPr>
            <w:tcW w:w="2800" w:type="dxa"/>
            <w:tcBorders>
              <w:top w:val="single" w:sz="4" w:space="0" w:color="000000"/>
              <w:start w:val="single" w:sz="4" w:space="0" w:color="000000"/>
              <w:bottom w:val="single" w:sz="4" w:space="0" w:color="000000"/>
              <w:end w:val="single" w:sz="4" w:space="0" w:color="000000"/>
            </w:tcBorders>
            <w:shd w:color="auto" w:fill="1B4D3E" w:val="clear"/>
          </w:tcPr>
          <w:p>
            <w:pPr>
              <w:pStyle w:val="Normal"/>
              <w:jc w:val="start"/>
              <w:rPr/>
            </w:pPr>
            <w:r>
              <w:rPr>
                <w:rFonts w:eastAsia="Calibri" w:cs="Calibri" w:ascii="Calibri" w:hAnsi="Calibri"/>
                <w:b/>
                <w:bCs/>
                <w:color w:val="FFFFFF"/>
                <w:sz w:val="20"/>
                <w:szCs w:val="20"/>
              </w:rPr>
              <w:t>Network</w:t>
            </w:r>
          </w:p>
        </w:tc>
        <w:tc>
          <w:tcPr>
            <w:tcW w:w="2200" w:type="dxa"/>
            <w:tcBorders>
              <w:top w:val="single" w:sz="4" w:space="0" w:color="000000"/>
              <w:start w:val="single" w:sz="4" w:space="0" w:color="000000"/>
              <w:bottom w:val="single" w:sz="4" w:space="0" w:color="000000"/>
              <w:end w:val="single" w:sz="4" w:space="0" w:color="000000"/>
            </w:tcBorders>
            <w:shd w:color="auto" w:fill="1B4D3E" w:val="clear"/>
          </w:tcPr>
          <w:p>
            <w:pPr>
              <w:pStyle w:val="Normal"/>
              <w:jc w:val="start"/>
              <w:rPr/>
            </w:pPr>
            <w:r>
              <w:rPr>
                <w:rFonts w:eastAsia="Calibri" w:cs="Calibri" w:ascii="Calibri" w:hAnsi="Calibri"/>
                <w:b/>
                <w:bCs/>
                <w:color w:val="FFFFFF"/>
                <w:sz w:val="20"/>
                <w:szCs w:val="20"/>
              </w:rPr>
              <w:t>Native Asset</w:t>
            </w:r>
          </w:p>
        </w:tc>
        <w:tc>
          <w:tcPr>
            <w:tcW w:w="3800" w:type="dxa"/>
            <w:tcBorders>
              <w:top w:val="single" w:sz="4" w:space="0" w:color="000000"/>
              <w:start w:val="single" w:sz="4" w:space="0" w:color="000000"/>
              <w:bottom w:val="single" w:sz="4" w:space="0" w:color="000000"/>
              <w:end w:val="single" w:sz="4" w:space="0" w:color="000000"/>
            </w:tcBorders>
            <w:shd w:color="auto" w:fill="1B4D3E" w:val="clear"/>
          </w:tcPr>
          <w:p>
            <w:pPr>
              <w:pStyle w:val="Normal"/>
              <w:jc w:val="start"/>
              <w:rPr/>
            </w:pPr>
            <w:r>
              <w:rPr>
                <w:rFonts w:eastAsia="Calibri" w:cs="Calibri" w:ascii="Calibri" w:hAnsi="Calibri"/>
                <w:b/>
                <w:bCs/>
                <w:color w:val="FFFFFF"/>
                <w:sz w:val="20"/>
                <w:szCs w:val="20"/>
              </w:rPr>
              <w:t>Mapped Tokens</w:t>
            </w:r>
          </w:p>
        </w:tc>
      </w:tr>
      <w:tr>
        <w:trPr/>
        <w:tc>
          <w:tcPr>
            <w:tcW w:w="2800" w:type="dxa"/>
            <w:tcBorders>
              <w:top w:val="single" w:sz="4" w:space="0" w:color="000000"/>
              <w:start w:val="single" w:sz="4" w:space="0" w:color="000000"/>
              <w:bottom w:val="single" w:sz="4" w:space="0" w:color="000000"/>
              <w:end w:val="single" w:sz="4" w:space="0" w:color="000000"/>
            </w:tcBorders>
            <w:shd w:color="auto" w:fill="E8F3EF" w:val="clear"/>
          </w:tcPr>
          <w:p>
            <w:pPr>
              <w:pStyle w:val="Normal"/>
              <w:jc w:val="start"/>
              <w:rPr/>
            </w:pPr>
            <w:r>
              <w:rPr>
                <w:rFonts w:eastAsia="Calibri" w:cs="Calibri" w:ascii="Calibri" w:hAnsi="Calibri"/>
                <w:b w:val="false"/>
                <w:bCs w:val="false"/>
                <w:color w:val="111111"/>
                <w:sz w:val="20"/>
                <w:szCs w:val="20"/>
              </w:rPr>
              <w:t>Celo (Alfajores)</w:t>
            </w:r>
          </w:p>
        </w:tc>
        <w:tc>
          <w:tcPr>
            <w:tcW w:w="2200" w:type="dxa"/>
            <w:tcBorders>
              <w:top w:val="single" w:sz="4" w:space="0" w:color="000000"/>
              <w:start w:val="single" w:sz="4" w:space="0" w:color="000000"/>
              <w:bottom w:val="single" w:sz="4" w:space="0" w:color="000000"/>
              <w:end w:val="single" w:sz="4" w:space="0" w:color="000000"/>
            </w:tcBorders>
            <w:shd w:color="auto" w:fill="E8F3EF" w:val="clear"/>
          </w:tcPr>
          <w:p>
            <w:pPr>
              <w:pStyle w:val="Normal"/>
              <w:jc w:val="start"/>
              <w:rPr/>
            </w:pPr>
            <w:r>
              <w:rPr>
                <w:rFonts w:eastAsia="Calibri" w:cs="Calibri" w:ascii="Calibri" w:hAnsi="Calibri"/>
                <w:b w:val="false"/>
                <w:bCs w:val="false"/>
                <w:color w:val="111111"/>
                <w:sz w:val="20"/>
                <w:szCs w:val="20"/>
              </w:rPr>
              <w:t>CELO</w:t>
            </w:r>
          </w:p>
        </w:tc>
        <w:tc>
          <w:tcPr>
            <w:tcW w:w="3800" w:type="dxa"/>
            <w:tcBorders>
              <w:top w:val="single" w:sz="4" w:space="0" w:color="000000"/>
              <w:start w:val="single" w:sz="4" w:space="0" w:color="000000"/>
              <w:bottom w:val="single" w:sz="4" w:space="0" w:color="000000"/>
              <w:end w:val="single" w:sz="4" w:space="0" w:color="000000"/>
            </w:tcBorders>
            <w:shd w:color="auto" w:fill="E8F3EF" w:val="clear"/>
          </w:tcPr>
          <w:p>
            <w:pPr>
              <w:pStyle w:val="Normal"/>
              <w:jc w:val="start"/>
              <w:rPr/>
            </w:pPr>
            <w:r>
              <w:rPr>
                <w:rFonts w:eastAsia="Calibri" w:cs="Calibri" w:ascii="Calibri" w:hAnsi="Calibri"/>
                <w:b w:val="false"/>
                <w:bCs w:val="false"/>
                <w:color w:val="111111"/>
                <w:sz w:val="20"/>
                <w:szCs w:val="20"/>
              </w:rPr>
              <w:t>USDm, cEUR</w:t>
            </w:r>
          </w:p>
        </w:tc>
      </w:tr>
      <w:tr>
        <w:trPr/>
        <w:tc>
          <w:tcPr>
            <w:tcW w:w="280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rFonts w:eastAsia="Calibri" w:cs="Calibri" w:ascii="Calibri" w:hAnsi="Calibri"/>
                <w:b w:val="false"/>
                <w:bCs w:val="false"/>
                <w:color w:val="111111"/>
                <w:sz w:val="20"/>
                <w:szCs w:val="20"/>
              </w:rPr>
              <w:t>Base (Sepolia)</w:t>
            </w:r>
          </w:p>
        </w:tc>
        <w:tc>
          <w:tcPr>
            <w:tcW w:w="220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rFonts w:eastAsia="Calibri" w:cs="Calibri" w:ascii="Calibri" w:hAnsi="Calibri"/>
                <w:b w:val="false"/>
                <w:bCs w:val="false"/>
                <w:color w:val="111111"/>
                <w:sz w:val="20"/>
                <w:szCs w:val="20"/>
              </w:rPr>
              <w:t>ETH</w:t>
            </w:r>
          </w:p>
        </w:tc>
        <w:tc>
          <w:tcPr>
            <w:tcW w:w="380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rFonts w:eastAsia="Calibri" w:cs="Calibri" w:ascii="Calibri" w:hAnsi="Calibri"/>
                <w:b w:val="false"/>
                <w:bCs w:val="false"/>
                <w:color w:val="111111"/>
                <w:sz w:val="20"/>
                <w:szCs w:val="20"/>
              </w:rPr>
              <w:t>USDC, WETH</w:t>
            </w:r>
          </w:p>
        </w:tc>
      </w:tr>
      <w:tr>
        <w:trPr/>
        <w:tc>
          <w:tcPr>
            <w:tcW w:w="2800" w:type="dxa"/>
            <w:tcBorders>
              <w:top w:val="single" w:sz="4" w:space="0" w:color="000000"/>
              <w:start w:val="single" w:sz="4" w:space="0" w:color="000000"/>
              <w:bottom w:val="single" w:sz="4" w:space="0" w:color="000000"/>
              <w:end w:val="single" w:sz="4" w:space="0" w:color="000000"/>
            </w:tcBorders>
            <w:shd w:color="auto" w:fill="E8F3EF" w:val="clear"/>
          </w:tcPr>
          <w:p>
            <w:pPr>
              <w:pStyle w:val="Normal"/>
              <w:jc w:val="start"/>
              <w:rPr/>
            </w:pPr>
            <w:r>
              <w:rPr>
                <w:rFonts w:eastAsia="Calibri" w:cs="Calibri" w:ascii="Calibri" w:hAnsi="Calibri"/>
                <w:b w:val="false"/>
                <w:bCs w:val="false"/>
                <w:color w:val="111111"/>
                <w:sz w:val="20"/>
                <w:szCs w:val="20"/>
              </w:rPr>
              <w:t>Arbitrum (Sepolia)</w:t>
            </w:r>
          </w:p>
        </w:tc>
        <w:tc>
          <w:tcPr>
            <w:tcW w:w="2200" w:type="dxa"/>
            <w:tcBorders>
              <w:top w:val="single" w:sz="4" w:space="0" w:color="000000"/>
              <w:start w:val="single" w:sz="4" w:space="0" w:color="000000"/>
              <w:bottom w:val="single" w:sz="4" w:space="0" w:color="000000"/>
              <w:end w:val="single" w:sz="4" w:space="0" w:color="000000"/>
            </w:tcBorders>
            <w:shd w:color="auto" w:fill="E8F3EF" w:val="clear"/>
          </w:tcPr>
          <w:p>
            <w:pPr>
              <w:pStyle w:val="Normal"/>
              <w:jc w:val="start"/>
              <w:rPr/>
            </w:pPr>
            <w:r>
              <w:rPr>
                <w:rFonts w:eastAsia="Calibri" w:cs="Calibri" w:ascii="Calibri" w:hAnsi="Calibri"/>
                <w:b w:val="false"/>
                <w:bCs w:val="false"/>
                <w:color w:val="111111"/>
                <w:sz w:val="20"/>
                <w:szCs w:val="20"/>
              </w:rPr>
              <w:t>ETH</w:t>
            </w:r>
          </w:p>
        </w:tc>
        <w:tc>
          <w:tcPr>
            <w:tcW w:w="3800" w:type="dxa"/>
            <w:tcBorders>
              <w:top w:val="single" w:sz="4" w:space="0" w:color="000000"/>
              <w:start w:val="single" w:sz="4" w:space="0" w:color="000000"/>
              <w:bottom w:val="single" w:sz="4" w:space="0" w:color="000000"/>
              <w:end w:val="single" w:sz="4" w:space="0" w:color="000000"/>
            </w:tcBorders>
            <w:shd w:color="auto" w:fill="E8F3EF" w:val="clear"/>
          </w:tcPr>
          <w:p>
            <w:pPr>
              <w:pStyle w:val="Normal"/>
              <w:jc w:val="start"/>
              <w:rPr/>
            </w:pPr>
            <w:r>
              <w:rPr>
                <w:rFonts w:eastAsia="Calibri" w:cs="Calibri" w:ascii="Calibri" w:hAnsi="Calibri"/>
                <w:b w:val="false"/>
                <w:bCs w:val="false"/>
                <w:color w:val="111111"/>
                <w:sz w:val="20"/>
                <w:szCs w:val="20"/>
              </w:rPr>
              <w:t>USDC, WETH</w:t>
            </w:r>
          </w:p>
        </w:tc>
      </w:tr>
      <w:tr>
        <w:trPr/>
        <w:tc>
          <w:tcPr>
            <w:tcW w:w="280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rFonts w:eastAsia="Calibri" w:cs="Calibri" w:ascii="Calibri" w:hAnsi="Calibri"/>
                <w:b w:val="false"/>
                <w:bCs w:val="false"/>
                <w:color w:val="111111"/>
                <w:sz w:val="20"/>
                <w:szCs w:val="20"/>
              </w:rPr>
              <w:t>Optimism (Sepolia)</w:t>
            </w:r>
          </w:p>
        </w:tc>
        <w:tc>
          <w:tcPr>
            <w:tcW w:w="220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rFonts w:eastAsia="Calibri" w:cs="Calibri" w:ascii="Calibri" w:hAnsi="Calibri"/>
                <w:b w:val="false"/>
                <w:bCs w:val="false"/>
                <w:color w:val="111111"/>
                <w:sz w:val="20"/>
                <w:szCs w:val="20"/>
              </w:rPr>
              <w:t>ETH</w:t>
            </w:r>
          </w:p>
        </w:tc>
        <w:tc>
          <w:tcPr>
            <w:tcW w:w="380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rFonts w:eastAsia="Calibri" w:cs="Calibri" w:ascii="Calibri" w:hAnsi="Calibri"/>
                <w:b w:val="false"/>
                <w:bCs w:val="false"/>
                <w:color w:val="111111"/>
                <w:sz w:val="20"/>
                <w:szCs w:val="20"/>
              </w:rPr>
              <w:t>USDC, WETH</w:t>
            </w:r>
          </w:p>
        </w:tc>
      </w:tr>
      <w:tr>
        <w:trPr/>
        <w:tc>
          <w:tcPr>
            <w:tcW w:w="2800" w:type="dxa"/>
            <w:tcBorders>
              <w:top w:val="single" w:sz="4" w:space="0" w:color="000000"/>
              <w:start w:val="single" w:sz="4" w:space="0" w:color="000000"/>
              <w:bottom w:val="single" w:sz="4" w:space="0" w:color="000000"/>
              <w:end w:val="single" w:sz="4" w:space="0" w:color="000000"/>
            </w:tcBorders>
            <w:shd w:color="auto" w:fill="E8F3EF" w:val="clear"/>
          </w:tcPr>
          <w:p>
            <w:pPr>
              <w:pStyle w:val="Normal"/>
              <w:jc w:val="start"/>
              <w:rPr/>
            </w:pPr>
            <w:r>
              <w:rPr>
                <w:rFonts w:eastAsia="Calibri" w:cs="Calibri" w:ascii="Calibri" w:hAnsi="Calibri"/>
                <w:b w:val="false"/>
                <w:bCs w:val="false"/>
                <w:color w:val="111111"/>
                <w:sz w:val="20"/>
                <w:szCs w:val="20"/>
              </w:rPr>
              <w:t>BNB Chain (Testnet)</w:t>
            </w:r>
          </w:p>
        </w:tc>
        <w:tc>
          <w:tcPr>
            <w:tcW w:w="2200" w:type="dxa"/>
            <w:tcBorders>
              <w:top w:val="single" w:sz="4" w:space="0" w:color="000000"/>
              <w:start w:val="single" w:sz="4" w:space="0" w:color="000000"/>
              <w:bottom w:val="single" w:sz="4" w:space="0" w:color="000000"/>
              <w:end w:val="single" w:sz="4" w:space="0" w:color="000000"/>
            </w:tcBorders>
            <w:shd w:color="auto" w:fill="E8F3EF" w:val="clear"/>
          </w:tcPr>
          <w:p>
            <w:pPr>
              <w:pStyle w:val="Normal"/>
              <w:jc w:val="start"/>
              <w:rPr/>
            </w:pPr>
            <w:r>
              <w:rPr>
                <w:rFonts w:eastAsia="Calibri" w:cs="Calibri" w:ascii="Calibri" w:hAnsi="Calibri"/>
                <w:b w:val="false"/>
                <w:bCs w:val="false"/>
                <w:color w:val="111111"/>
                <w:sz w:val="20"/>
                <w:szCs w:val="20"/>
              </w:rPr>
              <w:t>BNB</w:t>
            </w:r>
          </w:p>
        </w:tc>
        <w:tc>
          <w:tcPr>
            <w:tcW w:w="3800" w:type="dxa"/>
            <w:tcBorders>
              <w:top w:val="single" w:sz="4" w:space="0" w:color="000000"/>
              <w:start w:val="single" w:sz="4" w:space="0" w:color="000000"/>
              <w:bottom w:val="single" w:sz="4" w:space="0" w:color="000000"/>
              <w:end w:val="single" w:sz="4" w:space="0" w:color="000000"/>
            </w:tcBorders>
            <w:shd w:color="auto" w:fill="E8F3EF" w:val="clear"/>
          </w:tcPr>
          <w:p>
            <w:pPr>
              <w:pStyle w:val="Normal"/>
              <w:jc w:val="start"/>
              <w:rPr/>
            </w:pPr>
            <w:r>
              <w:rPr>
                <w:rFonts w:eastAsia="Calibri" w:cs="Calibri" w:ascii="Calibri" w:hAnsi="Calibri"/>
                <w:b w:val="false"/>
                <w:bCs w:val="false"/>
                <w:color w:val="111111"/>
                <w:sz w:val="20"/>
                <w:szCs w:val="20"/>
              </w:rPr>
              <w:t>USDT, WBNB</w:t>
            </w:r>
          </w:p>
        </w:tc>
      </w:tr>
      <w:tr>
        <w:trPr/>
        <w:tc>
          <w:tcPr>
            <w:tcW w:w="280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rFonts w:eastAsia="Calibri" w:cs="Calibri" w:ascii="Calibri" w:hAnsi="Calibri"/>
                <w:b w:val="false"/>
                <w:bCs w:val="false"/>
                <w:color w:val="111111"/>
                <w:sz w:val="20"/>
                <w:szCs w:val="20"/>
              </w:rPr>
              <w:t>Avalanche (Fuji)</w:t>
            </w:r>
          </w:p>
        </w:tc>
        <w:tc>
          <w:tcPr>
            <w:tcW w:w="220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rFonts w:eastAsia="Calibri" w:cs="Calibri" w:ascii="Calibri" w:hAnsi="Calibri"/>
                <w:b w:val="false"/>
                <w:bCs w:val="false"/>
                <w:color w:val="111111"/>
                <w:sz w:val="20"/>
                <w:szCs w:val="20"/>
              </w:rPr>
              <w:t>AVAX</w:t>
            </w:r>
          </w:p>
        </w:tc>
        <w:tc>
          <w:tcPr>
            <w:tcW w:w="380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rFonts w:eastAsia="Calibri" w:cs="Calibri" w:ascii="Calibri" w:hAnsi="Calibri"/>
                <w:b w:val="false"/>
                <w:bCs w:val="false"/>
                <w:color w:val="111111"/>
                <w:sz w:val="20"/>
                <w:szCs w:val="20"/>
              </w:rPr>
              <w:t>USDC, WAVAX</w:t>
            </w:r>
          </w:p>
        </w:tc>
      </w:tr>
      <w:tr>
        <w:trPr/>
        <w:tc>
          <w:tcPr>
            <w:tcW w:w="2800" w:type="dxa"/>
            <w:tcBorders>
              <w:top w:val="single" w:sz="4" w:space="0" w:color="000000"/>
              <w:start w:val="single" w:sz="4" w:space="0" w:color="000000"/>
              <w:bottom w:val="single" w:sz="4" w:space="0" w:color="000000"/>
              <w:end w:val="single" w:sz="4" w:space="0" w:color="000000"/>
            </w:tcBorders>
            <w:shd w:color="auto" w:fill="E8F3EF" w:val="clear"/>
          </w:tcPr>
          <w:p>
            <w:pPr>
              <w:pStyle w:val="Normal"/>
              <w:jc w:val="start"/>
              <w:rPr/>
            </w:pPr>
            <w:r>
              <w:rPr>
                <w:rFonts w:eastAsia="Calibri" w:cs="Calibri" w:ascii="Calibri" w:hAnsi="Calibri"/>
                <w:b w:val="false"/>
                <w:bCs w:val="false"/>
                <w:color w:val="111111"/>
                <w:sz w:val="20"/>
                <w:szCs w:val="20"/>
              </w:rPr>
              <w:t>Polygon (Amoy)</w:t>
            </w:r>
          </w:p>
        </w:tc>
        <w:tc>
          <w:tcPr>
            <w:tcW w:w="2200" w:type="dxa"/>
            <w:tcBorders>
              <w:top w:val="single" w:sz="4" w:space="0" w:color="000000"/>
              <w:start w:val="single" w:sz="4" w:space="0" w:color="000000"/>
              <w:bottom w:val="single" w:sz="4" w:space="0" w:color="000000"/>
              <w:end w:val="single" w:sz="4" w:space="0" w:color="000000"/>
            </w:tcBorders>
            <w:shd w:color="auto" w:fill="E8F3EF" w:val="clear"/>
          </w:tcPr>
          <w:p>
            <w:pPr>
              <w:pStyle w:val="Normal"/>
              <w:jc w:val="start"/>
              <w:rPr/>
            </w:pPr>
            <w:r>
              <w:rPr>
                <w:rFonts w:eastAsia="Calibri" w:cs="Calibri" w:ascii="Calibri" w:hAnsi="Calibri"/>
                <w:b w:val="false"/>
                <w:bCs w:val="false"/>
                <w:color w:val="111111"/>
                <w:sz w:val="20"/>
                <w:szCs w:val="20"/>
              </w:rPr>
              <w:t>POL</w:t>
            </w:r>
          </w:p>
        </w:tc>
        <w:tc>
          <w:tcPr>
            <w:tcW w:w="3800" w:type="dxa"/>
            <w:tcBorders>
              <w:top w:val="single" w:sz="4" w:space="0" w:color="000000"/>
              <w:start w:val="single" w:sz="4" w:space="0" w:color="000000"/>
              <w:bottom w:val="single" w:sz="4" w:space="0" w:color="000000"/>
              <w:end w:val="single" w:sz="4" w:space="0" w:color="000000"/>
            </w:tcBorders>
            <w:shd w:color="auto" w:fill="E8F3EF" w:val="clear"/>
          </w:tcPr>
          <w:p>
            <w:pPr>
              <w:pStyle w:val="Normal"/>
              <w:jc w:val="start"/>
              <w:rPr/>
            </w:pPr>
            <w:r>
              <w:rPr>
                <w:rFonts w:eastAsia="Calibri" w:cs="Calibri" w:ascii="Calibri" w:hAnsi="Calibri"/>
                <w:b w:val="false"/>
                <w:bCs w:val="false"/>
                <w:color w:val="111111"/>
                <w:sz w:val="20"/>
                <w:szCs w:val="20"/>
              </w:rPr>
              <w:t>USDC, WPOL</w:t>
            </w:r>
          </w:p>
        </w:tc>
      </w:tr>
      <w:tr>
        <w:trPr/>
        <w:tc>
          <w:tcPr>
            <w:tcW w:w="280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rFonts w:eastAsia="Calibri" w:cs="Calibri" w:ascii="Calibri" w:hAnsi="Calibri"/>
                <w:b w:val="false"/>
                <w:bCs w:val="false"/>
                <w:color w:val="111111"/>
                <w:sz w:val="20"/>
                <w:szCs w:val="20"/>
              </w:rPr>
              <w:t>Ethereum (Sepolia)</w:t>
            </w:r>
          </w:p>
        </w:tc>
        <w:tc>
          <w:tcPr>
            <w:tcW w:w="220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rFonts w:eastAsia="Calibri" w:cs="Calibri" w:ascii="Calibri" w:hAnsi="Calibri"/>
                <w:b w:val="false"/>
                <w:bCs w:val="false"/>
                <w:color w:val="111111"/>
                <w:sz w:val="20"/>
                <w:szCs w:val="20"/>
              </w:rPr>
              <w:t>ETH</w:t>
            </w:r>
          </w:p>
        </w:tc>
        <w:tc>
          <w:tcPr>
            <w:tcW w:w="380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rFonts w:eastAsia="Calibri" w:cs="Calibri" w:ascii="Calibri" w:hAnsi="Calibri"/>
                <w:b w:val="false"/>
                <w:bCs w:val="false"/>
                <w:color w:val="111111"/>
                <w:sz w:val="20"/>
                <w:szCs w:val="20"/>
              </w:rPr>
              <w:t>USDC, WETH</w:t>
            </w:r>
          </w:p>
        </w:tc>
      </w:tr>
    </w:tbl>
    <w:p>
      <w:pPr>
        <w:pStyle w:val="Normal"/>
        <w:spacing w:before="80" w:after="240"/>
        <w:jc w:val="center"/>
        <w:rPr/>
      </w:pPr>
      <w:r>
        <w:rPr>
          <w:i/>
          <w:iCs/>
          <w:color w:val="595959"/>
          <w:sz w:val="18"/>
          <w:szCs w:val="18"/>
        </w:rPr>
        <w:t>Table 3 — Network and asset coverage (testnet deployments)</w:t>
      </w:r>
    </w:p>
    <w:p>
      <w:pPr>
        <w:pStyle w:val="Normal"/>
        <w:spacing w:lineRule="auto" w:line="300" w:before="0" w:after="200"/>
        <w:jc w:val="both"/>
        <w:rPr/>
      </w:pPr>
      <w:r>
        <w:rPr>
          <w:rFonts w:eastAsia="Calibri" w:cs="Calibri" w:ascii="Calibri" w:hAnsi="Calibri"/>
          <w:sz w:val="22"/>
          <w:szCs w:val="22"/>
        </w:rPr>
        <w:t>Standard ERC-20 tokens are also supported on every network via manual contract-address entry, so a treasury is never limited to the pre-mapped token list.</w:t>
      </w:r>
    </w:p>
    <w:p>
      <w:pPr>
        <w:pStyle w:val="Heading1"/>
        <w:pBdr>
          <w:bottom w:val="single" w:sz="6" w:space="4" w:color="1B4D3E"/>
        </w:pBdr>
        <w:spacing w:before="480" w:after="240"/>
        <w:rPr/>
      </w:pPr>
      <w:r>
        <w:rPr>
          <w:b/>
          <w:bCs/>
          <w:color w:val="1B4D3E"/>
          <w:sz w:val="32"/>
          <w:szCs w:val="32"/>
        </w:rPr>
        <w:t>10. Technology Stack</w:t>
      </w:r>
    </w:p>
    <w:tbl>
      <w:tblPr>
        <w:tblW w:w="8800" w:type="dxa"/>
        <w:jc w:val="start"/>
        <w:tblInd w:w="0" w:type="dxa"/>
        <w:tblLayout w:type="fixed"/>
        <w:tblCellMar>
          <w:top w:w="100" w:type="dxa"/>
          <w:start w:w="120" w:type="dxa"/>
          <w:bottom w:w="100" w:type="dxa"/>
          <w:end w:w="120" w:type="dxa"/>
        </w:tblCellMar>
      </w:tblPr>
      <w:tblGrid>
        <w:gridCol w:w="3199"/>
        <w:gridCol w:w="5601"/>
      </w:tblGrid>
      <w:tr>
        <w:trPr>
          <w:tblHeader w:val="true"/>
        </w:trPr>
        <w:tc>
          <w:tcPr>
            <w:tcW w:w="3199" w:type="dxa"/>
            <w:tcBorders>
              <w:top w:val="single" w:sz="4" w:space="0" w:color="000000"/>
              <w:start w:val="single" w:sz="4" w:space="0" w:color="000000"/>
              <w:bottom w:val="single" w:sz="4" w:space="0" w:color="000000"/>
              <w:end w:val="single" w:sz="4" w:space="0" w:color="000000"/>
            </w:tcBorders>
            <w:shd w:color="auto" w:fill="1B4D3E" w:val="clear"/>
          </w:tcPr>
          <w:p>
            <w:pPr>
              <w:pStyle w:val="Normal"/>
              <w:jc w:val="start"/>
              <w:rPr/>
            </w:pPr>
            <w:r>
              <w:rPr>
                <w:rFonts w:eastAsia="Calibri" w:cs="Calibri" w:ascii="Calibri" w:hAnsi="Calibri"/>
                <w:b/>
                <w:bCs/>
                <w:color w:val="FFFFFF"/>
                <w:sz w:val="20"/>
                <w:szCs w:val="20"/>
              </w:rPr>
              <w:t>Layer</w:t>
            </w:r>
          </w:p>
        </w:tc>
        <w:tc>
          <w:tcPr>
            <w:tcW w:w="5601" w:type="dxa"/>
            <w:tcBorders>
              <w:top w:val="single" w:sz="4" w:space="0" w:color="000000"/>
              <w:start w:val="single" w:sz="4" w:space="0" w:color="000000"/>
              <w:bottom w:val="single" w:sz="4" w:space="0" w:color="000000"/>
              <w:end w:val="single" w:sz="4" w:space="0" w:color="000000"/>
            </w:tcBorders>
            <w:shd w:color="auto" w:fill="1B4D3E" w:val="clear"/>
          </w:tcPr>
          <w:p>
            <w:pPr>
              <w:pStyle w:val="Normal"/>
              <w:jc w:val="start"/>
              <w:rPr/>
            </w:pPr>
            <w:r>
              <w:rPr>
                <w:rFonts w:eastAsia="Calibri" w:cs="Calibri" w:ascii="Calibri" w:hAnsi="Calibri"/>
                <w:b/>
                <w:bCs/>
                <w:color w:val="FFFFFF"/>
                <w:sz w:val="20"/>
                <w:szCs w:val="20"/>
              </w:rPr>
              <w:t>Technology</w:t>
            </w:r>
          </w:p>
        </w:tc>
      </w:tr>
      <w:tr>
        <w:trPr/>
        <w:tc>
          <w:tcPr>
            <w:tcW w:w="3199" w:type="dxa"/>
            <w:tcBorders>
              <w:top w:val="single" w:sz="4" w:space="0" w:color="000000"/>
              <w:start w:val="single" w:sz="4" w:space="0" w:color="000000"/>
              <w:bottom w:val="single" w:sz="4" w:space="0" w:color="000000"/>
              <w:end w:val="single" w:sz="4" w:space="0" w:color="000000"/>
            </w:tcBorders>
            <w:shd w:color="auto" w:fill="E8F3EF" w:val="clear"/>
          </w:tcPr>
          <w:p>
            <w:pPr>
              <w:pStyle w:val="Normal"/>
              <w:jc w:val="start"/>
              <w:rPr/>
            </w:pPr>
            <w:r>
              <w:rPr>
                <w:rFonts w:eastAsia="Calibri" w:cs="Calibri" w:ascii="Calibri" w:hAnsi="Calibri"/>
                <w:b w:val="false"/>
                <w:bCs w:val="false"/>
                <w:color w:val="111111"/>
                <w:sz w:val="20"/>
                <w:szCs w:val="20"/>
              </w:rPr>
              <w:t>Smart Contracts</w:t>
            </w:r>
          </w:p>
        </w:tc>
        <w:tc>
          <w:tcPr>
            <w:tcW w:w="5601" w:type="dxa"/>
            <w:tcBorders>
              <w:top w:val="single" w:sz="4" w:space="0" w:color="000000"/>
              <w:start w:val="single" w:sz="4" w:space="0" w:color="000000"/>
              <w:bottom w:val="single" w:sz="4" w:space="0" w:color="000000"/>
              <w:end w:val="single" w:sz="4" w:space="0" w:color="000000"/>
            </w:tcBorders>
            <w:shd w:color="auto" w:fill="E8F3EF" w:val="clear"/>
          </w:tcPr>
          <w:p>
            <w:pPr>
              <w:pStyle w:val="Normal"/>
              <w:jc w:val="start"/>
              <w:rPr/>
            </w:pPr>
            <w:r>
              <w:rPr>
                <w:rFonts w:eastAsia="Calibri" w:cs="Calibri" w:ascii="Calibri" w:hAnsi="Calibri"/>
                <w:b w:val="false"/>
                <w:bCs w:val="false"/>
                <w:color w:val="111111"/>
                <w:sz w:val="20"/>
                <w:szCs w:val="20"/>
              </w:rPr>
              <w:t>Solidity 0.8.23, OpenZeppelin standards (ReentrancyGuard, IERC20)</w:t>
            </w:r>
          </w:p>
        </w:tc>
      </w:tr>
      <w:tr>
        <w:trPr/>
        <w:tc>
          <w:tcPr>
            <w:tcW w:w="3199"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rFonts w:eastAsia="Calibri" w:cs="Calibri" w:ascii="Calibri" w:hAnsi="Calibri"/>
                <w:b w:val="false"/>
                <w:bCs w:val="false"/>
                <w:color w:val="111111"/>
                <w:sz w:val="20"/>
                <w:szCs w:val="20"/>
              </w:rPr>
              <w:t>Frontend</w:t>
            </w:r>
          </w:p>
        </w:tc>
        <w:tc>
          <w:tcPr>
            <w:tcW w:w="5601"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rFonts w:eastAsia="Calibri" w:cs="Calibri" w:ascii="Calibri" w:hAnsi="Calibri"/>
                <w:b w:val="false"/>
                <w:bCs w:val="false"/>
                <w:color w:val="111111"/>
                <w:sz w:val="20"/>
                <w:szCs w:val="20"/>
              </w:rPr>
              <w:t>Next.js 14 (App Router), TypeScript, Tailwind CSS, shadcn/ui</w:t>
            </w:r>
          </w:p>
        </w:tc>
      </w:tr>
      <w:tr>
        <w:trPr/>
        <w:tc>
          <w:tcPr>
            <w:tcW w:w="3199" w:type="dxa"/>
            <w:tcBorders>
              <w:top w:val="single" w:sz="4" w:space="0" w:color="000000"/>
              <w:start w:val="single" w:sz="4" w:space="0" w:color="000000"/>
              <w:bottom w:val="single" w:sz="4" w:space="0" w:color="000000"/>
              <w:end w:val="single" w:sz="4" w:space="0" w:color="000000"/>
            </w:tcBorders>
            <w:shd w:color="auto" w:fill="E8F3EF" w:val="clear"/>
          </w:tcPr>
          <w:p>
            <w:pPr>
              <w:pStyle w:val="Normal"/>
              <w:jc w:val="start"/>
              <w:rPr/>
            </w:pPr>
            <w:r>
              <w:rPr>
                <w:rFonts w:eastAsia="Calibri" w:cs="Calibri" w:ascii="Calibri" w:hAnsi="Calibri"/>
                <w:b w:val="false"/>
                <w:bCs w:val="false"/>
                <w:color w:val="111111"/>
                <w:sz w:val="20"/>
                <w:szCs w:val="20"/>
              </w:rPr>
              <w:t>Web3 Connectivity</w:t>
            </w:r>
          </w:p>
        </w:tc>
        <w:tc>
          <w:tcPr>
            <w:tcW w:w="5601" w:type="dxa"/>
            <w:tcBorders>
              <w:top w:val="single" w:sz="4" w:space="0" w:color="000000"/>
              <w:start w:val="single" w:sz="4" w:space="0" w:color="000000"/>
              <w:bottom w:val="single" w:sz="4" w:space="0" w:color="000000"/>
              <w:end w:val="single" w:sz="4" w:space="0" w:color="000000"/>
            </w:tcBorders>
            <w:shd w:color="auto" w:fill="E8F3EF" w:val="clear"/>
          </w:tcPr>
          <w:p>
            <w:pPr>
              <w:pStyle w:val="Normal"/>
              <w:jc w:val="start"/>
              <w:rPr/>
            </w:pPr>
            <w:r>
              <w:rPr>
                <w:rFonts w:eastAsia="Calibri" w:cs="Calibri" w:ascii="Calibri" w:hAnsi="Calibri"/>
                <w:b w:val="false"/>
                <w:bCs w:val="false"/>
                <w:color w:val="111111"/>
                <w:sz w:val="20"/>
                <w:szCs w:val="20"/>
              </w:rPr>
              <w:t>Ethers.js v6, Privy (embedded and external wallet authentication)</w:t>
            </w:r>
          </w:p>
        </w:tc>
      </w:tr>
      <w:tr>
        <w:trPr/>
        <w:tc>
          <w:tcPr>
            <w:tcW w:w="3199"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rFonts w:eastAsia="Calibri" w:cs="Calibri" w:ascii="Calibri" w:hAnsi="Calibri"/>
                <w:b w:val="false"/>
                <w:bCs w:val="false"/>
                <w:color w:val="111111"/>
                <w:sz w:val="20"/>
                <w:szCs w:val="20"/>
              </w:rPr>
              <w:t>Deployment Pattern</w:t>
            </w:r>
          </w:p>
        </w:tc>
        <w:tc>
          <w:tcPr>
            <w:tcW w:w="5601"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rFonts w:eastAsia="Calibri" w:cs="Calibri" w:ascii="Calibri" w:hAnsi="Calibri"/>
                <w:b w:val="false"/>
                <w:bCs w:val="false"/>
                <w:color w:val="111111"/>
                <w:sz w:val="20"/>
                <w:szCs w:val="20"/>
              </w:rPr>
              <w:t>Factory / Controller / Vault, CREATE2 deterministic addressing</w:t>
            </w:r>
          </w:p>
        </w:tc>
      </w:tr>
      <w:tr>
        <w:trPr/>
        <w:tc>
          <w:tcPr>
            <w:tcW w:w="3199" w:type="dxa"/>
            <w:tcBorders>
              <w:top w:val="single" w:sz="4" w:space="0" w:color="000000"/>
              <w:start w:val="single" w:sz="4" w:space="0" w:color="000000"/>
              <w:bottom w:val="single" w:sz="4" w:space="0" w:color="000000"/>
              <w:end w:val="single" w:sz="4" w:space="0" w:color="000000"/>
            </w:tcBorders>
            <w:shd w:color="auto" w:fill="E8F3EF" w:val="clear"/>
          </w:tcPr>
          <w:p>
            <w:pPr>
              <w:pStyle w:val="Normal"/>
              <w:jc w:val="start"/>
              <w:rPr/>
            </w:pPr>
            <w:r>
              <w:rPr>
                <w:rFonts w:eastAsia="Calibri" w:cs="Calibri" w:ascii="Calibri" w:hAnsi="Calibri"/>
                <w:b w:val="false"/>
                <w:bCs w:val="false"/>
                <w:color w:val="111111"/>
                <w:sz w:val="20"/>
                <w:szCs w:val="20"/>
              </w:rPr>
              <w:t>Primary Network</w:t>
            </w:r>
          </w:p>
        </w:tc>
        <w:tc>
          <w:tcPr>
            <w:tcW w:w="5601" w:type="dxa"/>
            <w:tcBorders>
              <w:top w:val="single" w:sz="4" w:space="0" w:color="000000"/>
              <w:start w:val="single" w:sz="4" w:space="0" w:color="000000"/>
              <w:bottom w:val="single" w:sz="4" w:space="0" w:color="000000"/>
              <w:end w:val="single" w:sz="4" w:space="0" w:color="000000"/>
            </w:tcBorders>
            <w:shd w:color="auto" w:fill="E8F3EF" w:val="clear"/>
          </w:tcPr>
          <w:p>
            <w:pPr>
              <w:pStyle w:val="Normal"/>
              <w:jc w:val="start"/>
              <w:rPr/>
            </w:pPr>
            <w:r>
              <w:rPr>
                <w:rFonts w:eastAsia="Calibri" w:cs="Calibri" w:ascii="Calibri" w:hAnsi="Calibri"/>
                <w:b w:val="false"/>
                <w:bCs w:val="false"/>
                <w:color w:val="111111"/>
                <w:sz w:val="20"/>
                <w:szCs w:val="20"/>
              </w:rPr>
              <w:t>Celo (</w:t>
            </w:r>
            <w:r>
              <w:rPr>
                <w:rFonts w:eastAsia="Calibri" w:cs="Calibri" w:ascii="Calibri" w:hAnsi="Calibri"/>
                <w:b w:val="false"/>
                <w:bCs w:val="false"/>
                <w:color w:val="111111"/>
                <w:sz w:val="20"/>
                <w:szCs w:val="20"/>
              </w:rPr>
              <w:t>Sepolia</w:t>
            </w:r>
            <w:r>
              <w:rPr>
                <w:rFonts w:eastAsia="Calibri" w:cs="Calibri" w:ascii="Calibri" w:hAnsi="Calibri"/>
                <w:b w:val="false"/>
                <w:bCs w:val="false"/>
                <w:color w:val="111111"/>
                <w:sz w:val="20"/>
                <w:szCs w:val="20"/>
              </w:rPr>
              <w:t xml:space="preserve"> testnet), with multi-chain EVM support</w:t>
            </w:r>
          </w:p>
        </w:tc>
      </w:tr>
    </w:tbl>
    <w:p>
      <w:pPr>
        <w:pStyle w:val="Normal"/>
        <w:spacing w:before="80" w:after="240"/>
        <w:jc w:val="center"/>
        <w:rPr/>
      </w:pPr>
      <w:r>
        <w:rPr>
          <w:i/>
          <w:iCs/>
          <w:color w:val="595959"/>
          <w:sz w:val="18"/>
          <w:szCs w:val="18"/>
        </w:rPr>
        <w:t>Table 4 — Technology stack summary</w:t>
      </w:r>
    </w:p>
    <w:p>
      <w:pPr>
        <w:pStyle w:val="Heading1"/>
        <w:pBdr>
          <w:bottom w:val="single" w:sz="6" w:space="4" w:color="1B4D3E"/>
        </w:pBdr>
        <w:spacing w:before="480" w:after="240"/>
        <w:rPr/>
      </w:pPr>
      <w:r>
        <w:rPr>
          <w:b/>
          <w:bCs/>
          <w:color w:val="1B4D3E"/>
          <w:sz w:val="32"/>
          <w:szCs w:val="32"/>
        </w:rPr>
        <w:t>11. Use Cases</w:t>
      </w:r>
    </w:p>
    <w:p>
      <w:pPr>
        <w:pStyle w:val="Heading3"/>
        <w:spacing w:before="240" w:after="120"/>
        <w:rPr/>
      </w:pPr>
      <w:r>
        <w:rPr>
          <w:b/>
          <w:bCs/>
          <w:color w:val="1B4D3E"/>
          <w:sz w:val="22"/>
          <w:szCs w:val="22"/>
        </w:rPr>
        <w:t>11.1 DAO and Startup Treasuries</w:t>
      </w:r>
    </w:p>
    <w:p>
      <w:pPr>
        <w:pStyle w:val="Normal"/>
        <w:spacing w:lineRule="auto" w:line="300" w:before="0" w:after="200"/>
        <w:jc w:val="both"/>
        <w:rPr/>
      </w:pPr>
      <w:r>
        <w:rPr>
          <w:rFonts w:eastAsia="Calibri" w:cs="Calibri" w:ascii="Calibri" w:hAnsi="Calibri"/>
          <w:sz w:val="22"/>
          <w:szCs w:val="22"/>
        </w:rPr>
        <w:t>Founding teams and DAOs can encode their actual cap table into on-chain voting weight, so treasury decisions require the same practical consensus that off-chain governance already assumes.</w:t>
      </w:r>
    </w:p>
    <w:p>
      <w:pPr>
        <w:pStyle w:val="Heading3"/>
        <w:spacing w:before="240" w:after="120"/>
        <w:rPr/>
      </w:pPr>
      <w:r>
        <w:rPr>
          <w:b/>
          <w:bCs/>
          <w:color w:val="1B4D3E"/>
          <w:sz w:val="22"/>
          <w:szCs w:val="22"/>
        </w:rPr>
        <w:t>11.2 Payroll and Contractor Payments</w:t>
      </w:r>
    </w:p>
    <w:p>
      <w:pPr>
        <w:pStyle w:val="Normal"/>
        <w:spacing w:lineRule="auto" w:line="300" w:before="0" w:after="200"/>
        <w:jc w:val="both"/>
        <w:rPr/>
      </w:pPr>
      <w:r>
        <w:rPr>
          <w:rFonts w:eastAsia="Calibri" w:cs="Calibri" w:ascii="Calibri" w:hAnsi="Calibri"/>
          <w:sz w:val="22"/>
          <w:szCs w:val="22"/>
        </w:rPr>
        <w:t>Recurring payroll for distributed teams is reduced to a single CSV upload and one round of signatures per pay period, rather than one transaction and one approval cycle per employee.</w:t>
      </w:r>
    </w:p>
    <w:p>
      <w:pPr>
        <w:pStyle w:val="Heading3"/>
        <w:spacing w:before="240" w:after="120"/>
        <w:rPr/>
      </w:pPr>
      <w:r>
        <w:rPr>
          <w:b/>
          <w:bCs/>
          <w:color w:val="1B4D3E"/>
          <w:sz w:val="22"/>
          <w:szCs w:val="22"/>
        </w:rPr>
        <w:t>11.3 Investor Distributions</w:t>
      </w:r>
    </w:p>
    <w:p>
      <w:pPr>
        <w:pStyle w:val="Normal"/>
        <w:spacing w:lineRule="auto" w:line="300" w:before="0" w:after="200"/>
        <w:jc w:val="both"/>
        <w:rPr/>
      </w:pPr>
      <w:r>
        <w:rPr>
          <w:rFonts w:eastAsia="Calibri" w:cs="Calibri" w:ascii="Calibri" w:hAnsi="Calibri"/>
          <w:sz w:val="22"/>
          <w:szCs w:val="22"/>
        </w:rPr>
        <w:t>Pro-rata distributions to a capitalization table can be encoded directly as a batch payout, with the weighted approval flow itself serving as an auditable record of who authorized the disbursement.</w:t>
      </w:r>
    </w:p>
    <w:p>
      <w:pPr>
        <w:pStyle w:val="Heading3"/>
        <w:spacing w:before="240" w:after="120"/>
        <w:rPr/>
      </w:pPr>
      <w:r>
        <w:rPr>
          <w:b/>
          <w:bCs/>
          <w:color w:val="1B4D3E"/>
          <w:sz w:val="22"/>
          <w:szCs w:val="22"/>
        </w:rPr>
        <w:t>11.4 Cross-Chain Organizations</w:t>
      </w:r>
    </w:p>
    <w:p>
      <w:pPr>
        <w:pStyle w:val="Normal"/>
        <w:spacing w:lineRule="auto" w:line="300" w:before="0" w:after="200"/>
        <w:jc w:val="both"/>
        <w:rPr/>
      </w:pPr>
      <w:r>
        <w:rPr>
          <w:rFonts w:eastAsia="Calibri" w:cs="Calibri" w:ascii="Calibri" w:hAnsi="Calibri"/>
          <w:sz w:val="22"/>
          <w:szCs w:val="22"/>
        </w:rPr>
        <w:t>Teams holding assets across several chains manage every treasury from a single dashboard and a single verified address per chain, without maintaining separate signer processes per network.</w:t>
      </w:r>
    </w:p>
    <w:p>
      <w:pPr>
        <w:pStyle w:val="Heading1"/>
        <w:pBdr>
          <w:bottom w:val="single" w:sz="6" w:space="4" w:color="1B4D3E"/>
        </w:pBdr>
        <w:spacing w:before="480" w:after="240"/>
        <w:rPr/>
      </w:pPr>
      <w:r>
        <w:rPr>
          <w:b/>
          <w:bCs/>
          <w:color w:val="1B4D3E"/>
          <w:sz w:val="32"/>
          <w:szCs w:val="32"/>
        </w:rPr>
        <w:t>12. Roadmap</w:t>
      </w:r>
    </w:p>
    <w:tbl>
      <w:tblPr>
        <w:tblW w:w="8800" w:type="dxa"/>
        <w:jc w:val="start"/>
        <w:tblInd w:w="0" w:type="dxa"/>
        <w:tblLayout w:type="fixed"/>
        <w:tblCellMar>
          <w:top w:w="100" w:type="dxa"/>
          <w:start w:w="120" w:type="dxa"/>
          <w:bottom w:w="100" w:type="dxa"/>
          <w:end w:w="120" w:type="dxa"/>
        </w:tblCellMar>
      </w:tblPr>
      <w:tblGrid>
        <w:gridCol w:w="2800"/>
        <w:gridCol w:w="6000"/>
      </w:tblGrid>
      <w:tr>
        <w:trPr>
          <w:tblHeader w:val="true"/>
        </w:trPr>
        <w:tc>
          <w:tcPr>
            <w:tcW w:w="2800" w:type="dxa"/>
            <w:tcBorders>
              <w:top w:val="single" w:sz="4" w:space="0" w:color="000000"/>
              <w:start w:val="single" w:sz="4" w:space="0" w:color="000000"/>
              <w:bottom w:val="single" w:sz="4" w:space="0" w:color="000000"/>
              <w:end w:val="single" w:sz="4" w:space="0" w:color="000000"/>
            </w:tcBorders>
            <w:shd w:color="auto" w:fill="1B4D3E" w:val="clear"/>
          </w:tcPr>
          <w:p>
            <w:pPr>
              <w:pStyle w:val="Normal"/>
              <w:jc w:val="start"/>
              <w:rPr/>
            </w:pPr>
            <w:r>
              <w:rPr>
                <w:rFonts w:eastAsia="Calibri" w:cs="Calibri" w:ascii="Calibri" w:hAnsi="Calibri"/>
                <w:b/>
                <w:bCs/>
                <w:color w:val="FFFFFF"/>
                <w:sz w:val="20"/>
                <w:szCs w:val="20"/>
              </w:rPr>
              <w:t>Phase</w:t>
            </w:r>
          </w:p>
        </w:tc>
        <w:tc>
          <w:tcPr>
            <w:tcW w:w="6000" w:type="dxa"/>
            <w:tcBorders>
              <w:top w:val="single" w:sz="4" w:space="0" w:color="000000"/>
              <w:start w:val="single" w:sz="4" w:space="0" w:color="000000"/>
              <w:bottom w:val="single" w:sz="4" w:space="0" w:color="000000"/>
              <w:end w:val="single" w:sz="4" w:space="0" w:color="000000"/>
            </w:tcBorders>
            <w:shd w:color="auto" w:fill="1B4D3E" w:val="clear"/>
          </w:tcPr>
          <w:p>
            <w:pPr>
              <w:pStyle w:val="Normal"/>
              <w:jc w:val="start"/>
              <w:rPr/>
            </w:pPr>
            <w:r>
              <w:rPr>
                <w:rFonts w:eastAsia="Calibri" w:cs="Calibri" w:ascii="Calibri" w:hAnsi="Calibri"/>
                <w:b/>
                <w:bCs/>
                <w:color w:val="FFFFFF"/>
                <w:sz w:val="20"/>
                <w:szCs w:val="20"/>
              </w:rPr>
              <w:t>Milestone</w:t>
            </w:r>
          </w:p>
        </w:tc>
      </w:tr>
      <w:tr>
        <w:trPr/>
        <w:tc>
          <w:tcPr>
            <w:tcW w:w="2800" w:type="dxa"/>
            <w:tcBorders>
              <w:top w:val="single" w:sz="4" w:space="0" w:color="000000"/>
              <w:start w:val="single" w:sz="4" w:space="0" w:color="000000"/>
              <w:bottom w:val="single" w:sz="4" w:space="0" w:color="000000"/>
              <w:end w:val="single" w:sz="4" w:space="0" w:color="000000"/>
            </w:tcBorders>
            <w:shd w:color="auto" w:fill="E8F3EF" w:val="clear"/>
          </w:tcPr>
          <w:p>
            <w:pPr>
              <w:pStyle w:val="Normal"/>
              <w:jc w:val="start"/>
              <w:rPr/>
            </w:pPr>
            <w:r>
              <w:rPr>
                <w:rFonts w:eastAsia="Calibri" w:cs="Calibri" w:ascii="Calibri" w:hAnsi="Calibri"/>
                <w:b w:val="false"/>
                <w:bCs w:val="false"/>
                <w:color w:val="111111"/>
                <w:sz w:val="20"/>
                <w:szCs w:val="20"/>
              </w:rPr>
              <w:t>Phase 1 — Testnet</w:t>
            </w:r>
          </w:p>
        </w:tc>
        <w:tc>
          <w:tcPr>
            <w:tcW w:w="6000" w:type="dxa"/>
            <w:tcBorders>
              <w:top w:val="single" w:sz="4" w:space="0" w:color="000000"/>
              <w:start w:val="single" w:sz="4" w:space="0" w:color="000000"/>
              <w:bottom w:val="single" w:sz="4" w:space="0" w:color="000000"/>
              <w:end w:val="single" w:sz="4" w:space="0" w:color="000000"/>
            </w:tcBorders>
            <w:shd w:color="auto" w:fill="E8F3EF" w:val="clear"/>
          </w:tcPr>
          <w:p>
            <w:pPr>
              <w:pStyle w:val="Normal"/>
              <w:jc w:val="start"/>
              <w:rPr/>
            </w:pPr>
            <w:r>
              <w:rPr>
                <w:rFonts w:eastAsia="Calibri" w:cs="Calibri" w:ascii="Calibri" w:hAnsi="Calibri"/>
                <w:b w:val="false"/>
                <w:bCs w:val="false"/>
                <w:color w:val="111111"/>
                <w:sz w:val="20"/>
                <w:szCs w:val="20"/>
              </w:rPr>
              <w:t>Multi-chain testnet deployment, weighted governance core, batch payouts, DeFi swap tooling (current).</w:t>
            </w:r>
          </w:p>
        </w:tc>
      </w:tr>
      <w:tr>
        <w:trPr/>
        <w:tc>
          <w:tcPr>
            <w:tcW w:w="280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rFonts w:eastAsia="Calibri" w:cs="Calibri" w:ascii="Calibri" w:hAnsi="Calibri"/>
                <w:b w:val="false"/>
                <w:bCs w:val="false"/>
                <w:color w:val="111111"/>
                <w:sz w:val="20"/>
                <w:szCs w:val="20"/>
              </w:rPr>
              <w:t>Phase 2 — Audit &amp; Mainnet</w:t>
            </w:r>
          </w:p>
        </w:tc>
        <w:tc>
          <w:tcPr>
            <w:tcW w:w="600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rFonts w:eastAsia="Calibri" w:cs="Calibri" w:ascii="Calibri" w:hAnsi="Calibri"/>
                <w:b w:val="false"/>
                <w:bCs w:val="false"/>
                <w:color w:val="111111"/>
                <w:sz w:val="20"/>
                <w:szCs w:val="20"/>
              </w:rPr>
              <w:t>Independent smart contract audit, mainnet deployment onchains.</w:t>
            </w:r>
          </w:p>
        </w:tc>
      </w:tr>
      <w:tr>
        <w:trPr/>
        <w:tc>
          <w:tcPr>
            <w:tcW w:w="2800" w:type="dxa"/>
            <w:tcBorders>
              <w:top w:val="single" w:sz="4" w:space="0" w:color="000000"/>
              <w:start w:val="single" w:sz="4" w:space="0" w:color="000000"/>
              <w:bottom w:val="single" w:sz="4" w:space="0" w:color="000000"/>
              <w:end w:val="single" w:sz="4" w:space="0" w:color="000000"/>
            </w:tcBorders>
            <w:shd w:color="auto" w:fill="E8F3EF" w:val="clear"/>
          </w:tcPr>
          <w:p>
            <w:pPr>
              <w:pStyle w:val="Normal"/>
              <w:jc w:val="start"/>
              <w:rPr/>
            </w:pPr>
            <w:r>
              <w:rPr>
                <w:rFonts w:eastAsia="Calibri" w:cs="Calibri" w:ascii="Calibri" w:hAnsi="Calibri"/>
                <w:b w:val="false"/>
                <w:bCs w:val="false"/>
                <w:color w:val="111111"/>
                <w:sz w:val="20"/>
                <w:szCs w:val="20"/>
              </w:rPr>
              <w:t>Phase 3 — Treasury Intelligence</w:t>
            </w:r>
          </w:p>
        </w:tc>
        <w:tc>
          <w:tcPr>
            <w:tcW w:w="6000" w:type="dxa"/>
            <w:tcBorders>
              <w:top w:val="single" w:sz="4" w:space="0" w:color="000000"/>
              <w:start w:val="single" w:sz="4" w:space="0" w:color="000000"/>
              <w:bottom w:val="single" w:sz="4" w:space="0" w:color="000000"/>
              <w:end w:val="single" w:sz="4" w:space="0" w:color="000000"/>
            </w:tcBorders>
            <w:shd w:color="auto" w:fill="E8F3EF" w:val="clear"/>
          </w:tcPr>
          <w:p>
            <w:pPr>
              <w:pStyle w:val="Normal"/>
              <w:jc w:val="start"/>
              <w:rPr/>
            </w:pPr>
            <w:r>
              <w:rPr>
                <w:rFonts w:eastAsia="Calibri" w:cs="Calibri" w:ascii="Calibri" w:hAnsi="Calibri"/>
                <w:b w:val="false"/>
                <w:bCs w:val="false"/>
                <w:color w:val="111111"/>
                <w:sz w:val="20"/>
                <w:szCs w:val="20"/>
              </w:rPr>
              <w:t>Real-time USD-denominated treasury valuation, historical reporting, and exportable audit trails.</w:t>
            </w:r>
          </w:p>
        </w:tc>
      </w:tr>
      <w:tr>
        <w:trPr/>
        <w:tc>
          <w:tcPr>
            <w:tcW w:w="280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rFonts w:eastAsia="Calibri" w:cs="Calibri" w:ascii="Calibri" w:hAnsi="Calibri"/>
                <w:b w:val="false"/>
                <w:bCs w:val="false"/>
                <w:color w:val="111111"/>
                <w:sz w:val="20"/>
                <w:szCs w:val="20"/>
              </w:rPr>
              <w:t>Phase 4 — Expanded Integrations</w:t>
            </w:r>
          </w:p>
        </w:tc>
        <w:tc>
          <w:tcPr>
            <w:tcW w:w="6000" w:type="dxa"/>
            <w:tcBorders>
              <w:top w:val="single" w:sz="4" w:space="0" w:color="000000"/>
              <w:start w:val="single" w:sz="4" w:space="0" w:color="000000"/>
              <w:bottom w:val="single" w:sz="4" w:space="0" w:color="000000"/>
              <w:end w:val="single" w:sz="4" w:space="0" w:color="000000"/>
            </w:tcBorders>
            <w:shd w:color="auto" w:fill="FFFFFF" w:val="clear"/>
          </w:tcPr>
          <w:p>
            <w:pPr>
              <w:pStyle w:val="Normal"/>
              <w:jc w:val="start"/>
              <w:rPr/>
            </w:pPr>
            <w:r>
              <w:rPr>
                <w:rFonts w:eastAsia="Calibri" w:cs="Calibri" w:ascii="Calibri" w:hAnsi="Calibri"/>
                <w:b w:val="false"/>
                <w:bCs w:val="false"/>
                <w:color w:val="111111"/>
                <w:sz w:val="20"/>
                <w:szCs w:val="20"/>
              </w:rPr>
              <w:t>Additional DEX routers, yield-bearing treasury strategies, and off-chain accounting exports.</w:t>
            </w:r>
          </w:p>
        </w:tc>
      </w:tr>
    </w:tbl>
    <w:p>
      <w:pPr>
        <w:pStyle w:val="Normal"/>
        <w:spacing w:before="80" w:after="240"/>
        <w:jc w:val="center"/>
        <w:rPr/>
      </w:pPr>
      <w:r>
        <w:rPr>
          <w:i/>
          <w:iCs/>
          <w:color w:val="595959"/>
          <w:sz w:val="18"/>
          <w:szCs w:val="18"/>
        </w:rPr>
        <w:t>Table 5 — Indicative roadmap</w:t>
      </w:r>
    </w:p>
    <w:p>
      <w:pPr>
        <w:pStyle w:val="Heading1"/>
        <w:pBdr>
          <w:bottom w:val="single" w:sz="6" w:space="4" w:color="1B4D3E"/>
        </w:pBdr>
        <w:spacing w:before="480" w:after="240"/>
        <w:rPr/>
      </w:pPr>
      <w:r>
        <w:rPr>
          <w:b/>
          <w:bCs/>
          <w:color w:val="1B4D3E"/>
          <w:sz w:val="32"/>
          <w:szCs w:val="32"/>
        </w:rPr>
        <w:t>13. Conclusion</w:t>
      </w:r>
    </w:p>
    <w:p>
      <w:pPr>
        <w:pStyle w:val="Normal"/>
        <w:spacing w:lineRule="auto" w:line="300" w:before="0" w:after="200"/>
        <w:jc w:val="both"/>
        <w:rPr/>
      </w:pPr>
      <w:r>
        <w:rPr>
          <w:rFonts w:eastAsia="Calibri" w:cs="Calibri" w:ascii="Calibri" w:hAnsi="Calibri"/>
          <w:sz w:val="22"/>
          <w:szCs w:val="22"/>
        </w:rPr>
        <w:t>Sigma Protocol reframes on-chain treasury management around a simple premise: governance weight should reflect real ownership, not an arbitrary count of signers. By separating governance from custody, deploying deterministically across chains, and layering timelocks, expiry, batch payments, and DeFi tooling on top of a weighted-equity core, Sigma gives on-chain organizations a treasury system that behaves the way their real-world governance already does — auditable, equity-aligned, and resistant to any single point of failure.</w:t>
      </w:r>
    </w:p>
    <w:p>
      <w:pPr>
        <w:pStyle w:val="Normal"/>
        <w:pBdr>
          <w:bottom w:val="single" w:sz="4" w:space="1" w:color="CCCCCC"/>
        </w:pBdr>
        <w:spacing w:before="120" w:after="120"/>
        <w:rPr/>
      </w:pPr>
      <w:r>
        <w:rPr/>
      </w:r>
    </w:p>
    <w:p>
      <w:pPr>
        <w:pStyle w:val="Normal"/>
        <w:spacing w:before="400" w:after="0"/>
        <w:jc w:val="center"/>
        <w:rPr/>
      </w:pPr>
      <w:r>
        <w:rPr>
          <w:i/>
          <w:iCs/>
          <w:color w:val="595959"/>
          <w:sz w:val="20"/>
          <w:szCs w:val="20"/>
        </w:rPr>
        <w:t>Built with Σ by the Sigma Team</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i/>
        <w:iCs/>
        <w:color w:val="595959"/>
        <w:sz w:val="20"/>
        <w:szCs w:val="20"/>
      </w:rPr>
      <w:fldChar w:fldCharType="begin"/>
    </w:r>
    <w:r>
      <w:rPr>
        <w:i/>
        <w:iCs/>
        <w:color w:val="595959"/>
        <w:sz w:val="20"/>
        <w:szCs w:val="20"/>
      </w:rPr>
      <w:instrText xml:space="preserve"> PAGE </w:instrText>
    </w:r>
    <w:r>
      <w:rPr>
        <w:i/>
        <w:iCs/>
        <w:color w:val="595959"/>
        <w:sz w:val="20"/>
        <w:szCs w:val="20"/>
      </w:rPr>
      <w:fldChar w:fldCharType="separate"/>
    </w:r>
    <w:r>
      <w:rPr>
        <w:i/>
        <w:iCs/>
        <w:color w:val="595959"/>
        <w:sz w:val="20"/>
        <w:szCs w:val="20"/>
      </w:rPr>
      <w:t>11</w:t>
    </w:r>
    <w:r>
      <w:rPr>
        <w:i/>
        <w:iCs/>
        <w:color w:val="595959"/>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i/>
        <w:iCs/>
        <w:color w:val="595959"/>
        <w:sz w:val="20"/>
        <w:szCs w:val="20"/>
      </w:rPr>
      <w:fldChar w:fldCharType="begin"/>
    </w:r>
    <w:r>
      <w:rPr>
        <w:i/>
        <w:iCs/>
        <w:color w:val="595959"/>
        <w:sz w:val="20"/>
        <w:szCs w:val="20"/>
      </w:rPr>
      <w:instrText xml:space="preserve"> PAGE </w:instrText>
    </w:r>
    <w:r>
      <w:rPr>
        <w:i/>
        <w:iCs/>
        <w:color w:val="595959"/>
        <w:sz w:val="20"/>
        <w:szCs w:val="20"/>
      </w:rPr>
      <w:fldChar w:fldCharType="separate"/>
    </w:r>
    <w:r>
      <w:rPr>
        <w:i/>
        <w:iCs/>
        <w:color w:val="595959"/>
        <w:sz w:val="20"/>
        <w:szCs w:val="20"/>
      </w:rPr>
      <w:t>11</w:t>
    </w:r>
    <w:r>
      <w:rPr>
        <w:i/>
        <w:iCs/>
        <w:color w:val="595959"/>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80" w:hanging="260"/>
      </w:pPr>
      <w:rPr>
        <w:rFonts w:ascii="Symbol" w:hAnsi="Symbol" w:cs="Symbol" w:hint="default"/>
      </w:rPr>
    </w:lvl>
    <w:lvl w:ilvl="1">
      <w:start w:val="1"/>
      <w:numFmt w:val="bullet"/>
      <w:lvlText w:val="◦"/>
      <w:lvlJc w:val="start"/>
      <w:pPr>
        <w:tabs>
          <w:tab w:val="num" w:pos="0"/>
        </w:tabs>
        <w:ind w:start="900" w:hanging="2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480" w:hanging="2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LibreOffice/26.2.4.2$Linux_X86_64 LibreOffice_project/3346a99e6b841765b75a9b29714a5b95c6761ce3</Application>
  <AppVersion>15.0000</AppVersion>
  <Pages>11</Pages>
  <Words>2185</Words>
  <Characters>12962</Characters>
  <CharactersWithSpaces>14976</CharactersWithSpaces>
  <Paragraphs>184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2026-07-01T23:44:37Z</dcterms:created>
  <dc:creator>Un-named</dc:creator>
  <dc:description/>
  <dc:language>en-US</dc:language>
  <cp:lastModifiedBy/>
  <dcterms:modified xsi:type="dcterms:W3CDTF">2026-07-02T00:54:04Z</dcterms:modified>
  <cp:revision>2</cp:revision>
  <dc:subject/>
  <dc:title/>
</cp:coreProperties>
</file>