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Department – Q1 Report</w:t>
      </w:r>
    </w:p>
    <w:p>
      <w:r>
        <w:t>This report summarises financial performance for Q1.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12,450,000</w:t>
            </w:r>
          </w:p>
        </w:tc>
        <w:tc>
          <w:tcPr>
            <w:tcW w:type="dxa" w:w="2880"/>
          </w:tcPr>
          <w:p>
            <w:r>
              <w:t>Strong performance</w:t>
            </w:r>
          </w:p>
        </w:tc>
      </w:tr>
      <w:tr>
        <w:tc>
          <w:tcPr>
            <w:tcW w:type="dxa" w:w="2880"/>
          </w:tcPr>
          <w:p>
            <w:r>
              <w:t>Operating Income</w:t>
            </w:r>
          </w:p>
        </w:tc>
        <w:tc>
          <w:tcPr>
            <w:tcW w:type="dxa" w:w="2880"/>
          </w:tcPr>
          <w:p>
            <w:r>
              <w:t>3,120,000</w:t>
            </w:r>
          </w:p>
        </w:tc>
        <w:tc>
          <w:tcPr>
            <w:tcW w:type="dxa" w:w="2880"/>
          </w:tcPr>
          <w:p>
            <w:r>
              <w:t>Stable margins</w:t>
            </w:r>
          </w:p>
        </w:tc>
      </w:tr>
      <w:tr>
        <w:tc>
          <w:tcPr>
            <w:tcW w:type="dxa" w:w="2880"/>
          </w:tcPr>
          <w:p>
            <w:r>
              <w:t>Net Profit</w:t>
            </w:r>
          </w:p>
        </w:tc>
        <w:tc>
          <w:tcPr>
            <w:tcW w:type="dxa" w:w="2880"/>
          </w:tcPr>
          <w:p>
            <w:r>
              <w:t>2,480,000</w:t>
            </w:r>
          </w:p>
        </w:tc>
        <w:tc>
          <w:tcPr>
            <w:tcW w:type="dxa" w:w="2880"/>
          </w:tcPr>
          <w:p>
            <w:r>
              <w:t>Healthy quarter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Q1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