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A0B7" w14:textId="27B2CB2F" w:rsidR="00C625FC" w:rsidRPr="00C625FC" w:rsidRDefault="00C625FC" w:rsidP="00C625FC">
      <w:pPr>
        <w:pStyle w:val="Heading1"/>
        <w:spacing w:before="0" w:after="0" w:line="480" w:lineRule="auto"/>
        <w:jc w:val="center"/>
        <w:rPr>
          <w:rFonts w:ascii="Times New Roman" w:hAnsi="Times New Roman" w:cs="Times New Roman"/>
          <w:color w:val="1F1F1F"/>
          <w:sz w:val="36"/>
          <w:szCs w:val="36"/>
        </w:rPr>
      </w:pPr>
      <w:r w:rsidRPr="00C625FC">
        <w:rPr>
          <w:rFonts w:ascii="Times New Roman" w:hAnsi="Times New Roman" w:cs="Times New Roman"/>
          <w:color w:val="1F1F1F"/>
          <w:sz w:val="36"/>
          <w:szCs w:val="36"/>
        </w:rPr>
        <w:t xml:space="preserve">PROJECT 4 </w:t>
      </w:r>
      <w:r>
        <w:rPr>
          <w:rFonts w:ascii="Times New Roman" w:hAnsi="Times New Roman" w:cs="Times New Roman"/>
          <w:color w:val="1F1F1F"/>
          <w:sz w:val="36"/>
          <w:szCs w:val="36"/>
        </w:rPr>
        <w:t>EXECUTIVE</w:t>
      </w:r>
      <w:r w:rsidRPr="00C625FC">
        <w:rPr>
          <w:rFonts w:ascii="Times New Roman" w:hAnsi="Times New Roman" w:cs="Times New Roman"/>
          <w:color w:val="1F1F1F"/>
          <w:sz w:val="36"/>
          <w:szCs w:val="36"/>
        </w:rPr>
        <w:t xml:space="preserve"> REPORT</w:t>
      </w:r>
    </w:p>
    <w:p w14:paraId="2EEEE541" w14:textId="721A8C13" w:rsidR="009242CC" w:rsidRPr="00C625FC" w:rsidRDefault="00C625FC" w:rsidP="00C625FC">
      <w:pPr>
        <w:pStyle w:val="Heading1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Fonts w:ascii="Times New Roman" w:hAnsi="Times New Roman" w:cs="Times New Roman"/>
          <w:color w:val="1F1F1F"/>
          <w:sz w:val="24"/>
          <w:szCs w:val="24"/>
        </w:rPr>
        <w:t xml:space="preserve">Project Title: </w:t>
      </w:r>
      <w:r w:rsidR="00000000" w:rsidRPr="00C625FC">
        <w:rPr>
          <w:rFonts w:ascii="Times New Roman" w:hAnsi="Times New Roman" w:cs="Times New Roman"/>
          <w:color w:val="1F1F1F"/>
          <w:sz w:val="24"/>
          <w:szCs w:val="24"/>
        </w:rPr>
        <w:t>Data Visualization</w:t>
      </w:r>
    </w:p>
    <w:p w14:paraId="1DDDC8D4" w14:textId="4EC83A7E" w:rsidR="009242CC" w:rsidRPr="00C625FC" w:rsidRDefault="00C625FC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b/>
          <w:bCs/>
          <w:color w:val="1F1F1F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Prepared By</w:t>
      </w:r>
      <w:r w:rsidR="00000000"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: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Aanuoluwapo</w:t>
      </w:r>
      <w:proofErr w:type="spellEnd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 Oyewole</w:t>
      </w:r>
    </w:p>
    <w:p w14:paraId="683656E1" w14:textId="4FE076B0" w:rsidR="009242CC" w:rsidRDefault="00000000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Tool: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Microsoft Power BI</w:t>
      </w:r>
    </w:p>
    <w:p w14:paraId="001E0411" w14:textId="77777777" w:rsidR="00C625FC" w:rsidRPr="00C625FC" w:rsidRDefault="00C625FC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07AFD653" w14:textId="77777777" w:rsidR="009242CC" w:rsidRPr="00C625FC" w:rsidRDefault="00000000" w:rsidP="00C625FC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C625FC">
        <w:rPr>
          <w:rFonts w:ascii="Times New Roman" w:hAnsi="Times New Roman" w:cs="Times New Roman"/>
          <w:color w:val="1F1F1F"/>
          <w:sz w:val="28"/>
          <w:szCs w:val="28"/>
        </w:rPr>
        <w:t>1. Executive Summary &amp; Dashboard Strategy</w:t>
      </w:r>
    </w:p>
    <w:p w14:paraId="7FBDE6CB" w14:textId="77777777" w:rsidR="009242CC" w:rsidRDefault="00000000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C625FC">
        <w:rPr>
          <w:rFonts w:ascii="Times New Roman" w:hAnsi="Times New Roman" w:cs="Times New Roman"/>
          <w:color w:val="1F1F1F"/>
          <w:sz w:val="24"/>
          <w:szCs w:val="24"/>
        </w:rPr>
        <w:t>Project 4 converts the operational data baseline from Project 1 into an interactive, executive-level business intelligence dashboard within Microsoft Power BI. The dashboard organizes key transactional metrics into a clear visual hierarchy, allowing stakeholders to evaluate top-line growth, category contribution, channel performance, and temporal trends at a glance.</w:t>
      </w:r>
    </w:p>
    <w:p w14:paraId="706249D3" w14:textId="77777777" w:rsidR="00C625FC" w:rsidRPr="00C625FC" w:rsidRDefault="00C625FC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color w:val="1F1F1F"/>
          <w:sz w:val="24"/>
          <w:szCs w:val="24"/>
        </w:rPr>
      </w:pPr>
    </w:p>
    <w:p w14:paraId="334C063D" w14:textId="77777777" w:rsidR="009242CC" w:rsidRPr="00C625FC" w:rsidRDefault="00000000" w:rsidP="00C625FC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C625FC">
        <w:rPr>
          <w:rFonts w:ascii="Times New Roman" w:hAnsi="Times New Roman" w:cs="Times New Roman"/>
          <w:color w:val="1F1F1F"/>
          <w:sz w:val="28"/>
          <w:szCs w:val="28"/>
        </w:rPr>
        <w:t>2. Core Business Metrics (KPI Cards)</w:t>
      </w:r>
    </w:p>
    <w:p w14:paraId="06981BD2" w14:textId="77777777" w:rsidR="009242CC" w:rsidRPr="00C625FC" w:rsidRDefault="00000000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C625FC">
        <w:rPr>
          <w:rFonts w:ascii="Times New Roman" w:hAnsi="Times New Roman" w:cs="Times New Roman"/>
          <w:color w:val="1F1F1F"/>
          <w:sz w:val="24"/>
          <w:szCs w:val="24"/>
        </w:rPr>
        <w:t>The top KPI banner captures the operational performance across all 1,200 transactional records:</w:t>
      </w:r>
    </w:p>
    <w:p w14:paraId="146FE99C" w14:textId="77777777" w:rsidR="009242CC" w:rsidRPr="00C625FC" w:rsidRDefault="00000000" w:rsidP="00C625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Total Revenue: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$1.26476196M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(~$1.26M)</w:t>
      </w:r>
    </w:p>
    <w:p w14:paraId="2461C07E" w14:textId="77777777" w:rsidR="009242CC" w:rsidRPr="00C625FC" w:rsidRDefault="00000000" w:rsidP="00C625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Total Orders: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1K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(1,200 transactions)</w:t>
      </w:r>
    </w:p>
    <w:p w14:paraId="55226BCD" w14:textId="77777777" w:rsidR="009242CC" w:rsidRPr="00C625FC" w:rsidRDefault="00000000" w:rsidP="00C625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Total Units Sold: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4K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items</w:t>
      </w:r>
    </w:p>
    <w:p w14:paraId="248E82FF" w14:textId="77777777" w:rsidR="009242CC" w:rsidRPr="00C625FC" w:rsidRDefault="00000000" w:rsidP="00C625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Average Order Value (AOV):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$1.0539683K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(~$1,053.97)</w:t>
      </w:r>
    </w:p>
    <w:p w14:paraId="15A9C4A7" w14:textId="77777777" w:rsidR="00C625FC" w:rsidRPr="00C625FC" w:rsidRDefault="00C625FC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590"/>
        <w:rPr>
          <w:rFonts w:ascii="Times New Roman" w:hAnsi="Times New Roman" w:cs="Times New Roman"/>
          <w:sz w:val="24"/>
          <w:szCs w:val="24"/>
        </w:rPr>
      </w:pPr>
    </w:p>
    <w:p w14:paraId="0A443D38" w14:textId="77777777" w:rsidR="009242CC" w:rsidRPr="00C625FC" w:rsidRDefault="00000000" w:rsidP="00C625FC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C625FC">
        <w:rPr>
          <w:rFonts w:ascii="Times New Roman" w:hAnsi="Times New Roman" w:cs="Times New Roman"/>
          <w:color w:val="1F1F1F"/>
          <w:sz w:val="28"/>
          <w:szCs w:val="28"/>
        </w:rPr>
        <w:t>3. Detailed Visualization &amp; Analytical Breakdown</w:t>
      </w:r>
    </w:p>
    <w:p w14:paraId="76ED32E1" w14:textId="77777777" w:rsidR="009242CC" w:rsidRPr="00C625FC" w:rsidRDefault="00000000" w:rsidP="00C625FC">
      <w:pPr>
        <w:pStyle w:val="Heading3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C625FC">
        <w:rPr>
          <w:rFonts w:ascii="Times New Roman" w:hAnsi="Times New Roman" w:cs="Times New Roman"/>
          <w:color w:val="1F1F1F"/>
          <w:sz w:val="24"/>
          <w:szCs w:val="24"/>
        </w:rPr>
        <w:t>3.1 Product Performance (Total Revenue by Product - Clustered Column Chart)</w:t>
      </w:r>
    </w:p>
    <w:p w14:paraId="04C5E205" w14:textId="77777777" w:rsidR="009242CC" w:rsidRPr="00C625FC" w:rsidRDefault="00000000" w:rsidP="00C625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Visual Structure: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Ranks individual product categories along the X-axis against gross sales on the Y-axis.</w:t>
      </w:r>
    </w:p>
    <w:p w14:paraId="367C8C18" w14:textId="77777777" w:rsidR="009242CC" w:rsidRPr="00C625FC" w:rsidRDefault="00000000" w:rsidP="00C625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lastRenderedPageBreak/>
        <w:t>Key Finding: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Chair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leads overall revenue generation, closely followed by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Printer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,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Laptop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,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Tablet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, and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Monitor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.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Desk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and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Phone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represent lower relative volume, identifying specific category growth opportunities.</w:t>
      </w:r>
    </w:p>
    <w:p w14:paraId="631749FC" w14:textId="77777777" w:rsidR="009242CC" w:rsidRPr="00C625FC" w:rsidRDefault="00000000" w:rsidP="00C625FC">
      <w:pPr>
        <w:pStyle w:val="Heading3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C625FC">
        <w:rPr>
          <w:rFonts w:ascii="Times New Roman" w:hAnsi="Times New Roman" w:cs="Times New Roman"/>
          <w:color w:val="1F1F1F"/>
          <w:sz w:val="24"/>
          <w:szCs w:val="24"/>
        </w:rPr>
        <w:t>3.2 Annual Revenue Trend (Total Revenue by Year - Line Chart)</w:t>
      </w:r>
    </w:p>
    <w:p w14:paraId="0F7E3D83" w14:textId="77777777" w:rsidR="009242CC" w:rsidRPr="00C625FC" w:rsidRDefault="00000000" w:rsidP="00C625F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Visual Structure: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Maps total revenue movement across transaction years (2023 through 2025).</w:t>
      </w:r>
    </w:p>
    <w:p w14:paraId="790A92D1" w14:textId="77777777" w:rsidR="009242CC" w:rsidRPr="00C625FC" w:rsidRDefault="00000000" w:rsidP="00C625F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Key Finding: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Sales velocity maintained stable historical momentum through 2023–2024 before trailing off into 2025, providing actionable operational context for future inventory planning.</w:t>
      </w:r>
    </w:p>
    <w:p w14:paraId="25AF6007" w14:textId="77777777" w:rsidR="009242CC" w:rsidRPr="00C625FC" w:rsidRDefault="00000000" w:rsidP="00C625FC">
      <w:pPr>
        <w:pStyle w:val="Heading3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C625FC">
        <w:rPr>
          <w:rFonts w:ascii="Times New Roman" w:hAnsi="Times New Roman" w:cs="Times New Roman"/>
          <w:color w:val="1F1F1F"/>
          <w:sz w:val="24"/>
          <w:szCs w:val="24"/>
        </w:rPr>
        <w:t>3.3 Payment Method Channel Distribution (Donut Charts)</w:t>
      </w:r>
    </w:p>
    <w:p w14:paraId="5403A902" w14:textId="77777777" w:rsidR="009242CC" w:rsidRPr="00C625FC" w:rsidRDefault="00000000" w:rsidP="00C625F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Total Orders by </w:t>
      </w:r>
      <w:proofErr w:type="spellStart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PaymentMethod</w:t>
      </w:r>
      <w:proofErr w:type="spellEnd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2B77A1F9" w14:textId="77777777" w:rsidR="009242CC" w:rsidRPr="00C625FC" w:rsidRDefault="00000000" w:rsidP="00C625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Online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checkout commands the single largest volume share (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22.5%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>).</w:t>
      </w:r>
    </w:p>
    <w:p w14:paraId="278D84AE" w14:textId="77777777" w:rsidR="009242CC" w:rsidRPr="00C625FC" w:rsidRDefault="00000000" w:rsidP="00C625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Cash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follows at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20.83%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, with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Debit Card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(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19.33%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),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Credit Card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(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18.17%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), and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Gift Card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(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19.17%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>) maintaining a balanced multi-channel checkout preference.</w:t>
      </w:r>
    </w:p>
    <w:p w14:paraId="7B27DC07" w14:textId="77777777" w:rsidR="009242CC" w:rsidRPr="00C625FC" w:rsidRDefault="00000000" w:rsidP="00C625F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Total Revenue by </w:t>
      </w:r>
      <w:proofErr w:type="spellStart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PaymentMethod</w:t>
      </w:r>
      <w:proofErr w:type="spellEnd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:</w:t>
      </w:r>
    </w:p>
    <w:p w14:paraId="4330EA0F" w14:textId="77777777" w:rsidR="009242CC" w:rsidRPr="00C625FC" w:rsidRDefault="00000000" w:rsidP="00C625F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Credit Card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transactions deliver the highest gross revenue share (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20.88%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>).</w:t>
      </w:r>
    </w:p>
    <w:p w14:paraId="4690227B" w14:textId="77777777" w:rsidR="009242CC" w:rsidRPr="00C625FC" w:rsidRDefault="00000000" w:rsidP="00C625F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Gift Card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(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20.48%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) and 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Cash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(</w:t>
      </w:r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20.54%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>) contribute consistently to top-line income.</w:t>
      </w:r>
    </w:p>
    <w:p w14:paraId="2287AB24" w14:textId="77777777" w:rsidR="009242CC" w:rsidRPr="00C625FC" w:rsidRDefault="00000000" w:rsidP="00C625FC">
      <w:pPr>
        <w:pStyle w:val="Heading3"/>
        <w:spacing w:before="0" w:after="0" w:line="48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C625FC">
        <w:rPr>
          <w:rFonts w:ascii="Times New Roman" w:hAnsi="Times New Roman" w:cs="Times New Roman"/>
          <w:color w:val="1F1F1F"/>
          <w:sz w:val="24"/>
          <w:szCs w:val="24"/>
        </w:rPr>
        <w:t>3.4 Dynamic Slicers &amp; Interactive Controls</w:t>
      </w:r>
    </w:p>
    <w:p w14:paraId="49BD517B" w14:textId="77777777" w:rsidR="009242CC" w:rsidRPr="00C625FC" w:rsidRDefault="00000000" w:rsidP="00C625F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PaymentMethod</w:t>
      </w:r>
      <w:proofErr w:type="spellEnd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 Slicer: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Left-hand dropdown enabling dynamic filtering across Cash, Credit Card, Debit Card, Gift Card, and Online channels.</w:t>
      </w:r>
    </w:p>
    <w:p w14:paraId="7EEBA782" w14:textId="77777777" w:rsidR="009242CC" w:rsidRPr="00C625FC" w:rsidRDefault="00000000" w:rsidP="00C625F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>Clean_CouponCode</w:t>
      </w:r>
      <w:proofErr w:type="spellEnd"/>
      <w:r w:rsidRPr="00C625FC">
        <w:rPr>
          <w:rFonts w:ascii="Times New Roman" w:hAnsi="Times New Roman" w:cs="Times New Roman"/>
          <w:b/>
          <w:bCs/>
          <w:color w:val="1F1F1F"/>
          <w:sz w:val="24"/>
          <w:szCs w:val="24"/>
        </w:rPr>
        <w:t xml:space="preserve"> Slicer:</w:t>
      </w:r>
      <w:r w:rsidRPr="00C625FC">
        <w:rPr>
          <w:rFonts w:ascii="Times New Roman" w:hAnsi="Times New Roman" w:cs="Times New Roman"/>
          <w:color w:val="1F1F1F"/>
          <w:sz w:val="24"/>
          <w:szCs w:val="24"/>
        </w:rPr>
        <w:t xml:space="preserve"> Right-hand promotional filter options (FREESHIP, NONE, SAVE10, WINTER15) for isolated promotional campaign evaluation.</w:t>
      </w:r>
    </w:p>
    <w:p w14:paraId="3E0E126A" w14:textId="77777777" w:rsidR="00C625FC" w:rsidRPr="00C625FC" w:rsidRDefault="00C625FC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861F89" w14:textId="77777777" w:rsidR="009242CC" w:rsidRPr="00C625FC" w:rsidRDefault="00000000" w:rsidP="00C625FC">
      <w:pPr>
        <w:pStyle w:val="Heading2"/>
        <w:spacing w:before="0" w:after="0" w:line="480" w:lineRule="auto"/>
        <w:rPr>
          <w:rFonts w:ascii="Times New Roman" w:hAnsi="Times New Roman" w:cs="Times New Roman"/>
          <w:color w:val="1F1F1F"/>
          <w:sz w:val="28"/>
          <w:szCs w:val="28"/>
        </w:rPr>
      </w:pPr>
      <w:r w:rsidRPr="00C625FC">
        <w:rPr>
          <w:rFonts w:ascii="Times New Roman" w:hAnsi="Times New Roman" w:cs="Times New Roman"/>
          <w:color w:val="1F1F1F"/>
          <w:sz w:val="28"/>
          <w:szCs w:val="28"/>
        </w:rPr>
        <w:lastRenderedPageBreak/>
        <w:t>4. Dashboard Mapping Matrix</w:t>
      </w:r>
    </w:p>
    <w:tbl>
      <w:tblPr>
        <w:tblStyle w:val="GridTable5Dark-Accent1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242CC" w:rsidRPr="00C625FC" w14:paraId="4B28A8C5" w14:textId="77777777" w:rsidTr="00C625FC">
        <w:trPr>
          <w:trHeight w:val="927"/>
        </w:trPr>
        <w:tc>
          <w:tcPr>
            <w:tcW w:w="2340" w:type="dxa"/>
          </w:tcPr>
          <w:p w14:paraId="0174A79C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Dashboard Visual</w:t>
            </w:r>
          </w:p>
        </w:tc>
        <w:tc>
          <w:tcPr>
            <w:tcW w:w="2340" w:type="dxa"/>
          </w:tcPr>
          <w:p w14:paraId="734EC12B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Visual Type</w:t>
            </w:r>
          </w:p>
        </w:tc>
        <w:tc>
          <w:tcPr>
            <w:tcW w:w="2340" w:type="dxa"/>
          </w:tcPr>
          <w:p w14:paraId="2F5582FD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Key Fields Used</w:t>
            </w:r>
          </w:p>
        </w:tc>
        <w:tc>
          <w:tcPr>
            <w:tcW w:w="2340" w:type="dxa"/>
          </w:tcPr>
          <w:p w14:paraId="7E8EE65E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Primary Insight Delivered</w:t>
            </w:r>
          </w:p>
        </w:tc>
      </w:tr>
      <w:tr w:rsidR="009242CC" w:rsidRPr="00C625FC" w14:paraId="733A2252" w14:textId="77777777" w:rsidTr="00C625FC">
        <w:tc>
          <w:tcPr>
            <w:tcW w:w="2340" w:type="dxa"/>
          </w:tcPr>
          <w:p w14:paraId="71DF7AE2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Headline Metrics</w:t>
            </w:r>
          </w:p>
        </w:tc>
        <w:tc>
          <w:tcPr>
            <w:tcW w:w="2340" w:type="dxa"/>
          </w:tcPr>
          <w:p w14:paraId="257A30D5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KPI Cards</w:t>
            </w:r>
          </w:p>
        </w:tc>
        <w:tc>
          <w:tcPr>
            <w:tcW w:w="2340" w:type="dxa"/>
          </w:tcPr>
          <w:p w14:paraId="5BB01140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Total Revenue, Total Orders, Total Units Sold, AOV</w:t>
            </w:r>
          </w:p>
        </w:tc>
        <w:tc>
          <w:tcPr>
            <w:tcW w:w="2340" w:type="dxa"/>
          </w:tcPr>
          <w:p w14:paraId="0C92B518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Instant executive view of overall financial health ($1.26M revenue across 1K orders).</w:t>
            </w:r>
          </w:p>
        </w:tc>
      </w:tr>
      <w:tr w:rsidR="009242CC" w:rsidRPr="00C625FC" w14:paraId="167257A7" w14:textId="77777777" w:rsidTr="00C625FC">
        <w:tc>
          <w:tcPr>
            <w:tcW w:w="2340" w:type="dxa"/>
          </w:tcPr>
          <w:p w14:paraId="1843A45E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Category Sales</w:t>
            </w:r>
          </w:p>
        </w:tc>
        <w:tc>
          <w:tcPr>
            <w:tcW w:w="2340" w:type="dxa"/>
          </w:tcPr>
          <w:p w14:paraId="7605784C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Clustered Column Chart</w:t>
            </w:r>
          </w:p>
        </w:tc>
        <w:tc>
          <w:tcPr>
            <w:tcW w:w="2340" w:type="dxa"/>
          </w:tcPr>
          <w:p w14:paraId="4AE4E6C2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Product vs Total Revenue</w:t>
            </w:r>
          </w:p>
        </w:tc>
        <w:tc>
          <w:tcPr>
            <w:tcW w:w="2340" w:type="dxa"/>
          </w:tcPr>
          <w:p w14:paraId="4A7570B9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Highlights </w:t>
            </w:r>
            <w:r w:rsidRPr="00C625FC">
              <w:rPr>
                <w:rFonts w:ascii="Times New Roman" w:hAnsi="Times New Roman" w:cs="Times New Roman"/>
                <w:i/>
                <w:iCs/>
                <w:color w:val="1F1F1F"/>
                <w:sz w:val="24"/>
                <w:szCs w:val="24"/>
              </w:rPr>
              <w:t>Chair</w:t>
            </w: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and </w:t>
            </w:r>
            <w:r w:rsidRPr="00C625FC">
              <w:rPr>
                <w:rFonts w:ascii="Times New Roman" w:hAnsi="Times New Roman" w:cs="Times New Roman"/>
                <w:i/>
                <w:iCs/>
                <w:color w:val="1F1F1F"/>
                <w:sz w:val="24"/>
                <w:szCs w:val="24"/>
              </w:rPr>
              <w:t>Printer</w:t>
            </w: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as primary revenue drivers.</w:t>
            </w:r>
          </w:p>
        </w:tc>
      </w:tr>
      <w:tr w:rsidR="009242CC" w:rsidRPr="00C625FC" w14:paraId="7262B662" w14:textId="77777777" w:rsidTr="00C625FC">
        <w:tc>
          <w:tcPr>
            <w:tcW w:w="2340" w:type="dxa"/>
          </w:tcPr>
          <w:p w14:paraId="3B997178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Temporal Trend</w:t>
            </w:r>
          </w:p>
        </w:tc>
        <w:tc>
          <w:tcPr>
            <w:tcW w:w="2340" w:type="dxa"/>
          </w:tcPr>
          <w:p w14:paraId="08A2CD3B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Line Chart</w:t>
            </w:r>
          </w:p>
        </w:tc>
        <w:tc>
          <w:tcPr>
            <w:tcW w:w="2340" w:type="dxa"/>
          </w:tcPr>
          <w:p w14:paraId="68A81298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Date (Year) vs Total Revenue</w:t>
            </w:r>
          </w:p>
        </w:tc>
        <w:tc>
          <w:tcPr>
            <w:tcW w:w="2340" w:type="dxa"/>
          </w:tcPr>
          <w:p w14:paraId="12DE39F9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Tracks multi-year sales stability and trailing volume.</w:t>
            </w:r>
          </w:p>
        </w:tc>
      </w:tr>
      <w:tr w:rsidR="009242CC" w:rsidRPr="00C625FC" w14:paraId="066DCB74" w14:textId="77777777" w:rsidTr="00C625FC">
        <w:tc>
          <w:tcPr>
            <w:tcW w:w="2340" w:type="dxa"/>
          </w:tcPr>
          <w:p w14:paraId="4FFBBEE4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Volume Share</w:t>
            </w:r>
          </w:p>
        </w:tc>
        <w:tc>
          <w:tcPr>
            <w:tcW w:w="2340" w:type="dxa"/>
          </w:tcPr>
          <w:p w14:paraId="07D7233F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Donut Chart</w:t>
            </w:r>
          </w:p>
        </w:tc>
        <w:tc>
          <w:tcPr>
            <w:tcW w:w="2340" w:type="dxa"/>
          </w:tcPr>
          <w:p w14:paraId="636FE95F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PaymentMethod</w:t>
            </w:r>
            <w:proofErr w:type="spellEnd"/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vs Total Orders</w:t>
            </w:r>
          </w:p>
        </w:tc>
        <w:tc>
          <w:tcPr>
            <w:tcW w:w="2340" w:type="dxa"/>
          </w:tcPr>
          <w:p w14:paraId="5758D846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Demonstrates </w:t>
            </w:r>
            <w:r w:rsidRPr="00C625FC">
              <w:rPr>
                <w:rFonts w:ascii="Times New Roman" w:hAnsi="Times New Roman" w:cs="Times New Roman"/>
                <w:i/>
                <w:iCs/>
                <w:color w:val="1F1F1F"/>
                <w:sz w:val="24"/>
                <w:szCs w:val="24"/>
              </w:rPr>
              <w:t>Online</w:t>
            </w: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as the top transactional volume channel (22.5%).</w:t>
            </w:r>
          </w:p>
        </w:tc>
      </w:tr>
      <w:tr w:rsidR="009242CC" w:rsidRPr="00C625FC" w14:paraId="6EC50F86" w14:textId="77777777" w:rsidTr="00C625FC">
        <w:tc>
          <w:tcPr>
            <w:tcW w:w="2340" w:type="dxa"/>
          </w:tcPr>
          <w:p w14:paraId="3D22C256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Value Share</w:t>
            </w:r>
          </w:p>
        </w:tc>
        <w:tc>
          <w:tcPr>
            <w:tcW w:w="2340" w:type="dxa"/>
          </w:tcPr>
          <w:p w14:paraId="7986229F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Donut Chart</w:t>
            </w:r>
          </w:p>
        </w:tc>
        <w:tc>
          <w:tcPr>
            <w:tcW w:w="2340" w:type="dxa"/>
          </w:tcPr>
          <w:p w14:paraId="29EB359C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PaymentMethod</w:t>
            </w:r>
            <w:proofErr w:type="spellEnd"/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vs Total Revenue</w:t>
            </w:r>
          </w:p>
        </w:tc>
        <w:tc>
          <w:tcPr>
            <w:tcW w:w="2340" w:type="dxa"/>
          </w:tcPr>
          <w:p w14:paraId="3F746149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Reveals </w:t>
            </w:r>
            <w:r w:rsidRPr="00C625FC">
              <w:rPr>
                <w:rFonts w:ascii="Times New Roman" w:hAnsi="Times New Roman" w:cs="Times New Roman"/>
                <w:i/>
                <w:iCs/>
                <w:color w:val="1F1F1F"/>
                <w:sz w:val="24"/>
                <w:szCs w:val="24"/>
              </w:rPr>
              <w:t>Credit Card</w:t>
            </w: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as the highest overall </w:t>
            </w: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lastRenderedPageBreak/>
              <w:t>revenue contributor (20.88%).</w:t>
            </w:r>
          </w:p>
        </w:tc>
      </w:tr>
      <w:tr w:rsidR="009242CC" w:rsidRPr="00C625FC" w14:paraId="4E8A392F" w14:textId="77777777" w:rsidTr="00C625FC">
        <w:tc>
          <w:tcPr>
            <w:tcW w:w="2340" w:type="dxa"/>
          </w:tcPr>
          <w:p w14:paraId="18F17800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Interactivity</w:t>
            </w:r>
          </w:p>
        </w:tc>
        <w:tc>
          <w:tcPr>
            <w:tcW w:w="2340" w:type="dxa"/>
          </w:tcPr>
          <w:p w14:paraId="02955645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Slicer Controls</w:t>
            </w:r>
          </w:p>
        </w:tc>
        <w:tc>
          <w:tcPr>
            <w:tcW w:w="2340" w:type="dxa"/>
          </w:tcPr>
          <w:p w14:paraId="361B465F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PaymentMethod</w:t>
            </w:r>
            <w:proofErr w:type="spellEnd"/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Clean_CouponCode</w:t>
            </w:r>
            <w:proofErr w:type="spellEnd"/>
          </w:p>
        </w:tc>
        <w:tc>
          <w:tcPr>
            <w:tcW w:w="2340" w:type="dxa"/>
          </w:tcPr>
          <w:p w14:paraId="4F6771EC" w14:textId="77777777" w:rsidR="009242CC" w:rsidRPr="00C625FC" w:rsidRDefault="00000000" w:rsidP="00C625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480" w:lineRule="auto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C625F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Empowers stakeholders to execute ad-hoc category and promo cross-filtering.</w:t>
            </w:r>
          </w:p>
        </w:tc>
      </w:tr>
    </w:tbl>
    <w:p w14:paraId="584CCBA6" w14:textId="16AD8378" w:rsidR="009242CC" w:rsidRPr="00C625FC" w:rsidRDefault="009242CC" w:rsidP="00C625F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9242CC" w:rsidRPr="00C625F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94989C-DD6C-43D5-92F8-6E390EEC9F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879BCE-0694-473E-A410-1A86B975C6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D59720-7C67-4B62-BB29-AF9584E150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3603"/>
    <w:multiLevelType w:val="multilevel"/>
    <w:tmpl w:val="C302ABD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0F679A1"/>
    <w:multiLevelType w:val="multilevel"/>
    <w:tmpl w:val="C6122B7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141DF2"/>
    <w:multiLevelType w:val="multilevel"/>
    <w:tmpl w:val="271CB38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E881ABA"/>
    <w:multiLevelType w:val="multilevel"/>
    <w:tmpl w:val="09CE8C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9447DBF"/>
    <w:multiLevelType w:val="multilevel"/>
    <w:tmpl w:val="D2F246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4B542CA"/>
    <w:multiLevelType w:val="multilevel"/>
    <w:tmpl w:val="E12CDD3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DA47299"/>
    <w:multiLevelType w:val="multilevel"/>
    <w:tmpl w:val="42ECDEF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61E34CE"/>
    <w:multiLevelType w:val="multilevel"/>
    <w:tmpl w:val="E8F8F05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9034934">
    <w:abstractNumId w:val="4"/>
  </w:num>
  <w:num w:numId="2" w16cid:durableId="392507738">
    <w:abstractNumId w:val="3"/>
  </w:num>
  <w:num w:numId="3" w16cid:durableId="1501047027">
    <w:abstractNumId w:val="5"/>
  </w:num>
  <w:num w:numId="4" w16cid:durableId="1411345494">
    <w:abstractNumId w:val="1"/>
  </w:num>
  <w:num w:numId="5" w16cid:durableId="945694944">
    <w:abstractNumId w:val="6"/>
  </w:num>
  <w:num w:numId="6" w16cid:durableId="1043093007">
    <w:abstractNumId w:val="2"/>
  </w:num>
  <w:num w:numId="7" w16cid:durableId="1568419295">
    <w:abstractNumId w:val="0"/>
  </w:num>
  <w:num w:numId="8" w16cid:durableId="597950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2CC"/>
    <w:rsid w:val="009242CC"/>
    <w:rsid w:val="00C625FC"/>
    <w:rsid w:val="00F1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B030"/>
  <w15:docId w15:val="{EB11D7D1-B6F2-4D34-9629-4D2C4A29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GridTable5Dark-Accent1">
    <w:name w:val="Grid Table 5 Dark Accent 1"/>
    <w:basedOn w:val="TableNormal"/>
    <w:uiPriority w:val="50"/>
    <w:rsid w:val="00C625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Bunny</dc:creator>
  <cp:lastModifiedBy>USER</cp:lastModifiedBy>
  <cp:revision>2</cp:revision>
  <dcterms:created xsi:type="dcterms:W3CDTF">2026-09-16T06:59:00Z</dcterms:created>
  <dcterms:modified xsi:type="dcterms:W3CDTF">2026-09-16T06:59:00Z</dcterms:modified>
</cp:coreProperties>
</file>