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8"/>
          <w:sz w:val="48"/>
        </w:rPr>
        <w:t>Data Preprocessing Report</w:t>
      </w:r>
    </w:p>
    <w:p>
      <w:pPr>
        <w:spacing w:after="360"/>
      </w:pPr>
      <w:r>
        <w:rPr>
          <w:rFonts w:ascii="Calibri Light" w:hAnsi="Calibri Light"/>
          <w:i/>
          <w:color w:val="595959"/>
          <w:sz w:val="24"/>
        </w:rPr>
        <w:t>Heart Disease Prediction Dataset Analysis &amp; Pipeline Documentation</w:t>
      </w:r>
    </w:p>
    <w:p>
      <w:pPr>
        <w:pStyle w:val="Heading2"/>
      </w:pPr>
      <w:r>
        <w:t>1. Business Problem</w:t>
      </w:r>
    </w:p>
    <w:p>
      <w:pPr>
        <w:spacing w:after="120"/>
      </w:pPr>
      <w:r>
        <w:t>Cardiovascular diseases are among the leading causes of mortality globally. Early detection and risk assessment enable healthcare providers to intervene proactively and tailor preventive treatment plans.</w:t>
      </w:r>
    </w:p>
    <w:p>
      <w:pPr>
        <w:pStyle w:val="ListBullet"/>
        <w:spacing w:after="60"/>
      </w:pPr>
      <w:r>
        <w:rPr>
          <w:b/>
        </w:rPr>
        <w:t xml:space="preserve">Primary Objective: </w:t>
      </w:r>
      <w:r>
        <w:t xml:space="preserve">Develop a machine learning pipeline to accurately predict the presence or risk of cardiovascular disease (represented by the binary target variable </w:t>
      </w:r>
      <w:r>
        <w:rPr>
          <w:rFonts w:ascii="Consolas" w:hAnsi="Consolas"/>
          <w:sz w:val="20"/>
        </w:rPr>
        <w:t>heart_disease</w:t>
      </w:r>
      <w:r>
        <w:t>: 0 = No Disease, 1 = Presence of Disease) using clinical diagnostics and physiological metrics.</w:t>
      </w:r>
    </w:p>
    <w:p>
      <w:pPr>
        <w:pStyle w:val="ListBullet"/>
        <w:spacing w:after="240"/>
      </w:pPr>
      <w:r>
        <w:rPr>
          <w:b/>
        </w:rPr>
        <w:t xml:space="preserve">Data Pipeline Goal: </w:t>
      </w:r>
      <w:r>
        <w:t>Transform raw clinical records into a sanitized, standardized, and machine learning-ready dataset. This ensures that downstream classification models operate on high-quality features while preventing algorithmic bias and data leakage.</w:t>
      </w:r>
    </w:p>
    <w:p>
      <w:pPr>
        <w:pStyle w:val="Heading2"/>
      </w:pPr>
      <w:r>
        <w:t>2. Preprocessing Decisions</w:t>
      </w:r>
    </w:p>
    <w:p>
      <w:pPr>
        <w:spacing w:after="120"/>
      </w:pPr>
      <w:r>
        <w:t>The raw dataset consisted of 918 patient observations and 12 initial features. The following preprocessing workflow was implemented to audit and prepare the dataset:</w:t>
      </w:r>
    </w:p>
    <w:p>
      <w:pPr>
        <w:pStyle w:val="ListBullet"/>
        <w:spacing w:after="80"/>
      </w:pPr>
      <w:r>
        <w:rPr>
          <w:b/>
        </w:rPr>
        <w:t xml:space="preserve">Data Integrity &amp; Auditing: </w:t>
      </w:r>
      <w:r>
        <w:t>Conducted programmatic checks for missing values (pd.isnull().sum()) and duplicate rows (duplicated().sum()). The raw dataset contained 0 null values and 0 duplicated records, confirming initial data completeness.</w:t>
      </w:r>
    </w:p>
    <w:p>
      <w:pPr>
        <w:pStyle w:val="ListBullet"/>
        <w:spacing w:after="80"/>
      </w:pPr>
      <w:r>
        <w:rPr>
          <w:b/>
        </w:rPr>
        <w:t xml:space="preserve">Data Type Casting: </w:t>
      </w:r>
      <w:r>
        <w:t>Separated raw features into explicit numeric and categorical data types. Features such as ChestPainType, RestingECG, ST_Slope, and ExerciseAngina were converted to category types for memory efficiency and proper encoding alignment.</w:t>
      </w:r>
    </w:p>
    <w:p>
      <w:pPr>
        <w:pStyle w:val="ListBullet"/>
        <w:spacing w:after="80"/>
      </w:pPr>
      <w:r>
        <w:rPr>
          <w:b/>
        </w:rPr>
        <w:t xml:space="preserve">Categorical Encoding: </w:t>
      </w:r>
      <w:r>
        <w:t>Applied binary mapping for binary indicators (e.g., ExerciseAngina) and One-Hot Encoding (pd.get_dummies()) for multi-class nominal features (ChestPainType, RestingECG). Boolean dummy outputs were explicitly cast to standard integer types (0/1).</w:t>
      </w:r>
    </w:p>
    <w:p>
      <w:pPr>
        <w:pStyle w:val="ListBullet"/>
        <w:spacing w:after="80"/>
      </w:pPr>
      <w:r>
        <w:rPr>
          <w:b/>
        </w:rPr>
        <w:t xml:space="preserve">Feature Scaling: </w:t>
      </w:r>
      <w:r>
        <w:t>Applied StandardScaler to standard continuous numerical variables (Age, RestingBP, Cholesterol, FastingBS, MaxHR, Oldpeak) to re-center them around a mean of 0 and a standard deviation of 1.</w:t>
      </w:r>
    </w:p>
    <w:p>
      <w:pPr>
        <w:pStyle w:val="ListBullet"/>
        <w:spacing w:after="80"/>
      </w:pPr>
      <w:r>
        <w:rPr>
          <w:b/>
        </w:rPr>
        <w:t xml:space="preserve">Outlier Visual Audit: </w:t>
      </w:r>
      <w:r>
        <w:t>Generated individual boxplots across numerical attributes (Age, RestingBP, Cholesterol, MaxHR, Oldpeak) to inspect feature distributions, skewness, and extreme variance.</w:t>
      </w:r>
    </w:p>
    <w:p>
      <w:pPr>
        <w:spacing w:after="120"/>
      </w:pPr>
    </w:p>
    <w:p>
      <w:pPr>
        <w:pStyle w:val="Heading2"/>
      </w:pPr>
      <w:r>
        <w:t>3. Feature Engineering Techniques</w:t>
      </w:r>
    </w:p>
    <w:p>
      <w:pPr>
        <w:spacing w:after="120"/>
      </w:pPr>
      <w:r>
        <w:t>To enhance feature representations and maintain clean programmatic naming standards, specific feature engineering steps were executed:</w:t>
      </w:r>
    </w:p>
    <w:p>
      <w:pPr>
        <w:pStyle w:val="ListBullet"/>
        <w:spacing w:after="80"/>
      </w:pPr>
      <w:r>
        <w:rPr>
          <w:b/>
        </w:rPr>
        <w:t xml:space="preserve">Age Binning (AgeGroup): </w:t>
      </w:r>
      <w:r>
        <w:t>Engineered a categorical age group variable using pd.cut() with boundary bins [0, 39, 49, 59, 69, 100] and corresponding labels (&lt;40, 40–49, 50–59, 60–69, 70+). This binning captures non-linear life-stage risk trends across broad age brackets.</w:t>
      </w:r>
    </w:p>
    <w:p>
      <w:pPr>
        <w:pStyle w:val="ListBullet"/>
        <w:spacing w:after="80"/>
      </w:pPr>
      <w:r>
        <w:rPr>
          <w:b/>
        </w:rPr>
        <w:t xml:space="preserve">Column Name Standardization: </w:t>
      </w:r>
      <w:r>
        <w:t>Renamed raw feature headers to standardized snake_case format (e.g., ChestPainType → chest_pain_type, RestingBP → resting_bp, FastingBS → fasting_blood_sugar, MaxHR → max_heart_rate) to improve code readability and maintain consistent field references.</w:t>
      </w:r>
    </w:p>
    <w:p>
      <w:pPr>
        <w:pStyle w:val="ListBullet"/>
        <w:spacing w:after="80"/>
      </w:pPr>
      <w:r>
        <w:rPr>
          <w:b/>
        </w:rPr>
        <w:t xml:space="preserve">Redundancy Management: </w:t>
      </w:r>
      <w:r>
        <w:t>Prior to final model export, the engineered age_group column was removed from the primary numerical feature matrix to eliminate multicollinearity and direct feature duplication with the continuous age attribute.</w:t>
      </w:r>
    </w:p>
    <w:p>
      <w:pPr>
        <w:spacing w:after="120"/>
      </w:pPr>
    </w:p>
    <w:p>
      <w:pPr>
        <w:pStyle w:val="Heading2"/>
      </w:pPr>
      <w:r>
        <w:t>4. Key Observations</w:t>
      </w:r>
    </w:p>
    <w:p>
      <w:pPr>
        <w:spacing w:after="120"/>
      </w:pPr>
      <w:r>
        <w:t>Analysis of the preprocessed dataset and feature diagnostic evaluations yielded the following key findings:</w:t>
      </w:r>
    </w:p>
    <w:p>
      <w:pPr>
        <w:pStyle w:val="ListBullet"/>
        <w:spacing w:after="80"/>
      </w:pPr>
      <w:r>
        <w:rPr>
          <w:b/>
        </w:rPr>
        <w:t xml:space="preserve">Balanced Class Distribution: </w:t>
      </w:r>
      <w:r>
        <w:t>The target variable (heart_disease) exhibits a well-balanced class distribution across the 918 observations, with 508 positive cases (55.3%) and 410 negative cases (44.7%), eliminating the need for synthetic re-sampling (e.g., SMOTE).</w:t>
      </w:r>
    </w:p>
    <w:p>
      <w:pPr>
        <w:pStyle w:val="ListBullet"/>
        <w:spacing w:after="80"/>
      </w:pPr>
      <w:r>
        <w:rPr>
          <w:b/>
        </w:rPr>
        <w:t xml:space="preserve">Feature Associations: </w:t>
      </w:r>
      <w:r>
        <w:t>Correlation matrix heatmap evaluation revealed strong diagnostic associations with heart disease. Specifically, Oldpeak, ST_Slope (Down/Flat), and ExerciseAngina exhibited high positive relationships with disease presence, whereas MaxHR and ChestPainType (ATA) showed strong negative correlations.</w:t>
      </w:r>
    </w:p>
    <w:p>
      <w:pPr>
        <w:pStyle w:val="ListBullet"/>
        <w:spacing w:after="80"/>
      </w:pPr>
      <w:r>
        <w:rPr>
          <w:b/>
        </w:rPr>
        <w:t xml:space="preserve">Feature Importance Ranking: </w:t>
      </w:r>
      <w:r>
        <w:t>A Random Forest Classifier baseline model (300 estimators) highlighted ST_Slope, Oldpeak, MaxHR, Cholesterol, and ChestPainType as the most influential predictors in classifying heart disease risk.</w:t>
      </w:r>
    </w:p>
    <w:p>
      <w:pPr>
        <w:spacing w:after="120"/>
      </w:pPr>
    </w:p>
    <w:p>
      <w:pPr>
        <w:pStyle w:val="Heading2"/>
      </w:pPr>
      <w:r>
        <w:t>5. Justification for the Methods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Preprocessing / Feature Method</w:t>
            </w:r>
          </w:p>
        </w:tc>
        <w:tc>
          <w:tcPr>
            <w:tcW w:type="dxa" w:w="4680"/>
            <w:shd w:fill="1F4E7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Justification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One-Hot Encoding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Nominal attributes such as chest_pain_type and resting_ecg lack natural mathematical ordering. One-hot encoding prevents machine learning models from assuming artificial ordinal relationships.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StandardScaler Standardization</w:t>
            </w:r>
          </w:p>
        </w:tc>
        <w:tc>
          <w:tcPr>
            <w:tcW w:type="dxa" w:w="6192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Rescales continuous numerical features to zero mean and unit variance. This prevents high-magnitude scales (e.g., cholesterol) from dominating gradient-based and distance-based algorithms (KNN, SVM, Logistic Regression).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Random Forest Importance Analysis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Provides non-parametric, non-linear evaluation of feature predictive power without relying on strict distributional assumptions, offering accurate insights into clinical feature contributions.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Dataset Export (CSV)</w:t>
            </w:r>
          </w:p>
        </w:tc>
        <w:tc>
          <w:tcPr>
            <w:tcW w:type="dxa" w:w="6192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Saving the transformed dataset (918 rows x 15 features) as 'heart_disease_prediction_ml_ready.csv' establishes a clean baseline ready for seamless ingestion into downstream model training pipelines.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4E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