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Checklist de despliegue de la solución de modernización digital en entorno productivo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val="clear" w:color="auto" w:fill="28467E"/>
          </w:tcPr>
          <w:p>
            <w:r>
              <w:rPr>
                <w:b/>
                <w:color w:val="FFFFFF"/>
              </w:rPr>
              <w:t>Mi CompañIA</w:t>
            </w:r>
          </w:p>
        </w:tc>
        <w:tc>
          <w:tcPr>
            <w:tcW w:type="dxa" w:w="3408"/>
            <w:shd w:val="clear" w:color="auto" w:fill="28467E"/>
          </w:tcPr>
          <w:p>
            <w:r>
              <w:rPr>
                <w:b/>
                <w:color w:val="FFFFFF"/>
              </w:rPr>
              <w:t>Checklist de despliegue de la solución de modernización digital en entorno productivo Manual de Modernización Digital con IA · Producto del Elemento 3 · Implementar</w:t>
            </w:r>
          </w:p>
        </w:tc>
        <w:tc>
          <w:tcPr>
            <w:tcW w:type="dxa" w:w="3408"/>
            <w:shd w:val="clear" w:color="auto" w:fill="28467E"/>
          </w:tcPr>
          <w:p>
            <w:r>
              <w:rPr>
                <w:b/>
                <w:color w:val="FFFFFF"/>
              </w:rPr>
              <w:t>Producto 3.1 Template editable Mi CompañIA · FUNDES</w:t>
            </w:r>
          </w:p>
        </w:tc>
      </w:tr>
    </w:tbl>
    <w:p>
      <w:pPr>
        <w:pStyle w:val="Heading2"/>
      </w:pPr>
      <w:r>
        <w:t>Referencia de trabajo del F21</w:t>
      </w:r>
    </w:p>
    <w:p>
      <w:pPr>
        <w:pStyle w:val="ListBullet"/>
      </w:pPr>
      <w:r>
        <w:t>(a) Contiene la solución instalada y operativa en la infraestructura de la MiPyME conforme a la arquitectura autorizada</w:t>
      </w:r>
    </w:p>
    <w:p>
      <w:pPr>
        <w:pStyle w:val="ListBullet"/>
      </w:pPr>
      <w:r>
        <w:t>(b) Incluye los modelos/servicios de inteligencia artificial conectados y respondiendo en el entorno productivo de la MiPyME</w:t>
      </w:r>
    </w:p>
    <w:p>
      <w:pPr>
        <w:pStyle w:val="ListBullet"/>
      </w:pPr>
      <w:r>
        <w:t>(c) Tiene la base de datos final de producción con los respaldos automatizados configurados</w:t>
      </w:r>
    </w:p>
    <w:p>
      <w:pPr>
        <w:pStyle w:val="ListBullet"/>
      </w:pPr>
      <w:r>
        <w:t>(d) Refiere el procedimiento para monitorear el consumo de tokens/créditos de las APIs de IA</w:t>
      </w:r>
    </w:p>
    <w:p>
      <w:pPr>
        <w:pStyle w:val="ListBullet"/>
      </w:pPr>
      <w:r>
        <w:t>(e) Describe las medidas de seguridad implementadas en el entorno productivo conforme a la propuesta de modernización digital autorizada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val="clear" w:color="auto" w:fill="28467E"/>
          </w:tcPr>
          <w:p>
            <w:r>
              <w:rPr>
                <w:b/>
                <w:color w:val="FFFFFF"/>
              </w:rPr>
              <w:t>MiPyME (razón social)</w:t>
            </w:r>
          </w:p>
        </w:tc>
        <w:tc>
          <w:tcPr>
            <w:tcW w:type="dxa" w:w="5112"/>
            <w:shd w:val="clear" w:color="auto" w:fill="28467E"/>
          </w:tcPr>
          <w:p>
            <w:r>
              <w:rPr>
                <w:b/>
                <w:color w:val="FFFFFF"/>
              </w:rPr>
            </w:r>
          </w:p>
        </w:tc>
      </w:tr>
      <w:tr>
        <w:tc>
          <w:tcPr>
            <w:tcW w:type="dxa" w:w="5112"/>
          </w:tcPr>
          <w:p>
            <w:r>
              <w:t>Persona responsable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Consultor responsable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Fecha del documento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Tu turno · preguntas guía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facad" w:hAnsi="Afacad" w:cs="Afacad" w:eastAsia="Afacad"/>
      <w:color w:val="4B556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facad" w:hAnsi="Afacad" w:cs="Afacad" w:eastAsia="Afacad"/>
      <w:b/>
      <w:bCs/>
      <w:color w:val="28467E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facad" w:hAnsi="Afacad" w:cs="Afacad" w:eastAsia="Afacad"/>
      <w:b/>
      <w:bCs/>
      <w:color w:val="28467E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facad" w:hAnsi="Afacad" w:cs="Afacad" w:eastAsia="Afacad"/>
      <w:b/>
      <w:bCs/>
      <w:color w:val="28467E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facad" w:hAnsi="Afacad" w:cs="Afacad" w:eastAsia="Afacad"/>
      <w:b/>
      <w:color w:val="28467E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