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A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Propuesta final de adopción de soluciones de IA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  <w:tblHeader w:val="true"/>
        </w:trPr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 CompañIA</w:t>
            </w:r>
          </w:p>
        </w:tc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Propuesta final de adopción de soluciones de IA Curso de Adopción de IA en procesos · Producto del Elemento 1 · Planear</w:t>
            </w:r>
          </w:p>
        </w:tc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Producto 1.4.7 Template editable Mi CompañIA · FUNDES</w:t>
            </w:r>
          </w:p>
        </w:tc>
      </w:tr>
    </w:tbl>
    <w:p>
      <w:pPr>
        <w:pStyle w:val="Heading2"/>
      </w:pPr>
      <w:r>
        <w:t>Referencia de trabajo del F21</w:t>
      </w:r>
    </w:p>
    <w:p>
      <w:pPr>
        <w:pStyle w:val="ListBullet"/>
      </w:pPr>
      <w:r>
        <w:t>Contiene el informe de diagnóstico de procesos, actividades y áreas de trabajo</w:t>
      </w:r>
    </w:p>
    <w:p>
      <w:pPr>
        <w:pStyle w:val="ListBullet"/>
      </w:pPr>
      <w:r>
        <w:t>Incluye el reporte de madurez digital y disposición al cambio</w:t>
      </w:r>
    </w:p>
    <w:p>
      <w:pPr>
        <w:pStyle w:val="ListBullet"/>
      </w:pPr>
      <w:r>
        <w:t>Contiene la matriz de impacto, viabilidad y esfuerzo</w:t>
      </w:r>
    </w:p>
    <w:p>
      <w:pPr>
        <w:pStyle w:val="ListBullet"/>
      </w:pPr>
      <w:r>
        <w:t>Incluye la hoja de ruta de adopción de soluciones de IA, considerando el cronograma, actividades y áreas de trabajo</w:t>
      </w:r>
    </w:p>
    <w:p>
      <w:pPr>
        <w:pStyle w:val="ListBullet"/>
      </w:pPr>
      <w:r>
        <w:t>Contiene la propuesta económica de consultoría, considerando la aplicación del diagnóstico y del test de madurez digital y disposición al cambio</w:t>
      </w:r>
    </w:p>
    <w:p>
      <w:pPr>
        <w:pStyle w:val="ListBullet"/>
      </w:pPr>
      <w:r>
        <w:t>Incluye la evidencia escrita/digital del visto bueno por parte de la persona responsable de la MiPyME</w:t>
      </w:r>
    </w:p>
    <w:p>
      <w:pPr>
        <w:pStyle w:val="ListBullet"/>
      </w:pPr>
      <w:r>
        <w:t>Incluye el acuerdo de confidencialidad firmado por ambas partes</w:t>
      </w:r>
    </w:p>
    <w:p>
      <w:pPr>
        <w:pStyle w:val="ListBullet"/>
      </w:pPr>
      <w:r>
        <w:t>Se presenta en formato digital / físico, con redacción clara y sin errores ortográficos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