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29ED7"/>
          <w:sz w:val="16"/>
        </w:rPr>
        <w:t>PLANTILLA DE TRABAJO · ESTÁNDAR B</w:t>
      </w:r>
    </w:p>
    <w:p>
      <w:pPr>
        <w:pStyle w:val="Title"/>
        <w:pBdr>
          <w:bottom w:val="single" w:sz="12" w:space="6" w:color="F7C031"/>
        </w:pBdr>
        <w:spacing w:after="280"/>
        <w:jc w:val="left"/>
      </w:pPr>
      <w:r>
        <w:t>Informe del proceso de ideación de soluciones documentado con el cliente/usuario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60" w:type="dxa"/>
          <w:left w:w="108" w:type="dxa"/>
          <w:bottom w:w="60" w:type="dxa"/>
          <w:right w:w="108" w:type="dxa"/>
        </w:tblCellMar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cantSplit w:val="true"/>
          <w:tblHeader w:val="true"/>
        </w:trPr>
        <w:tc>
          <w:tcPr>
            <w:tcW w:type="dxa" w:w="3312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Mi CompañIA</w:t>
            </w:r>
          </w:p>
        </w:tc>
        <w:tc>
          <w:tcPr>
            <w:tcW w:type="dxa" w:w="3312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Informe del proceso de ideación de soluciones documentado con el cliente/usuario Manual de Desarrollar con IA · Producto del Elemento 2 · Conceptualizar</w:t>
            </w:r>
          </w:p>
        </w:tc>
        <w:tc>
          <w:tcPr>
            <w:tcW w:type="dxa" w:w="3312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Producto 2.1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Contiene las preguntas generadoras de ideas formuladas a partir del problema priorizado</w:t>
      </w:r>
    </w:p>
    <w:p>
      <w:pPr>
        <w:pStyle w:val="ListBullet"/>
      </w:pPr>
      <w:r>
        <w:t>(b) Contiene las preguntas sobre oportunidades de mejora o innovación en procesos, productos/servicios</w:t>
      </w:r>
    </w:p>
    <w:p>
      <w:pPr>
        <w:pStyle w:val="ListBullet"/>
      </w:pPr>
      <w:r>
        <w:t>(c) Contiene la/s pregunta/s detonadora/s seleccionadas para la generación de ideas</w:t>
      </w:r>
    </w:p>
    <w:p>
      <w:pPr>
        <w:pStyle w:val="ListBullet"/>
      </w:pPr>
      <w:r>
        <w:t>(d) Incluye las técnicas de ideación utilizadas</w:t>
      </w:r>
    </w:p>
    <w:p>
      <w:pPr>
        <w:pStyle w:val="ListBullet"/>
      </w:pPr>
      <w:r>
        <w:t>(e) Contiene las ideas obtenidas a partir de las preguntas generadoras de ideas</w:t>
      </w:r>
    </w:p>
    <w:p>
      <w:pPr>
        <w:pStyle w:val="ListBullet"/>
      </w:pPr>
      <w:r>
        <w:t>(f) Contiene la reformulación de las ideas que facilitan/impulsan la generación de soluciones</w:t>
      </w:r>
    </w:p>
    <w:p>
      <w:pPr>
        <w:pStyle w:val="ListBullet"/>
      </w:pPr>
      <w:r>
        <w:t>(g) Contiene las herramientas y los prompts que se utilizaron en la sesión de ideación de soluciones comerciales con IA</w:t>
      </w:r>
    </w:p>
    <w:p>
      <w:pPr>
        <w:pStyle w:val="ListBullet"/>
      </w:pPr>
      <w:r>
        <w:t>(h) Se presenta en formato digital/físico, con redacción clara y sin errores ortográficos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60" w:type="dxa"/>
          <w:left w:w="108" w:type="dxa"/>
          <w:bottom w:w="60" w:type="dxa"/>
          <w:right w:w="108" w:type="dxa"/>
        </w:tblCellMar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 w:val="true"/>
          <w:tblHeader w:val="true"/>
        </w:trPr>
        <w:tc>
          <w:tcPr>
            <w:tcW w:type="dxa" w:w="4968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MiPyME (razón social)</w:t>
            </w:r>
          </w:p>
        </w:tc>
        <w:tc>
          <w:tcPr>
            <w:tcW w:type="dxa" w:w="4968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Persona responsable</w:t>
            </w:r>
          </w:p>
        </w:tc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4968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Consultor responsable</w:t>
            </w:r>
          </w:p>
        </w:tc>
        <w:tc>
          <w:tcPr>
            <w:tcW w:type="dxa" w:w="4968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Fecha del documento</w:t>
            </w:r>
          </w:p>
        </w:tc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footerReference w:type="default" r:id="rId9"/>
      <w:pgSz w:w="12240" w:h="15840"/>
      <w:pgMar w:top="1152" w:right="1152" w:bottom="1080" w:left="1152" w:header="720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C9D3E4"/>
      </w:pBdr>
      <w:tabs>
        <w:tab w:pos="9936" w:val="right"/>
      </w:tabs>
      <w:spacing w:before="120" w:after="0"/>
    </w:pPr>
    <w:r>
      <w:rPr>
        <w:rFonts w:ascii="Calibri" w:hAnsi="Calibri"/>
        <w:color w:val="4B5563"/>
        <w:sz w:val="16"/>
      </w:rPr>
    </w:r>
    <w:r>
      <w:rPr>
        <w:rFonts w:ascii="Calibri" w:hAnsi="Calibri"/>
        <w:color w:val="4B5563"/>
        <w:sz w:val="16"/>
      </w:rPr>
      <w:t>Mi CompañIA · FUNDES México + Google.org</w:t>
      <w:tab/>
    </w:r>
    <w:r>
      <w:rPr>
        <w:rFonts w:ascii="Calibri" w:hAnsi="Calibri"/>
        <w:color w:val="4B5563"/>
        <w:sz w:val="16"/>
      </w:rPr>
      <w:t xml:space="preserve">Página </w:t>
    </w:r>
    <w:r>
      <w:rPr>
        <w:rFonts w:ascii="Calibri" w:hAnsi="Calibri"/>
        <w:color w:val="4B5563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160"/>
    </w:pPr>
    <w:rPr>
      <w:rFonts w:ascii="Calibri" w:hAnsi="Calibri" w:cs="Calibri" w:eastAsia="Calibri"/>
      <w:color w:val="4B556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264" w:lineRule="auto"/>
      <w:outlineLvl w:val="0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64" w:lineRule="auto"/>
      <w:outlineLvl w:val="1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60" w:line="264" w:lineRule="auto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64" w:lineRule="auto" w:before="0"/>
      <w:contextualSpacing/>
    </w:pPr>
    <w:rPr>
      <w:rFonts w:asciiTheme="majorHAnsi" w:eastAsiaTheme="majorEastAsia" w:hAnsiTheme="majorHAnsi" w:cstheme="majorBidi" w:ascii="Calibri" w:hAnsi="Calibri" w:cs="Calibri" w:eastAsia="Calibri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Calibri" w:hAnsi="Calibri" w:cs="Calibri" w:eastAsia="Calibri"/>
      <w:color w:val="4B556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Calibri" w:hAnsi="Calibri" w:cs="Calibri" w:eastAsia="Calibri"/>
      <w:color w:val="4B556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