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C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Estrategia de contenido de mercadotecnia digital de la MiPyME utilizando IA, diseñada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 w:val="true"/>
          <w:tblHeader w:val="true"/>
        </w:trPr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 CompañIA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Estrategia de contenido de mercadotecnia digital de la MiPyME utilizando IA, diseñada Manual de Mercadotecnia Digital con IA · Producto del Elemento 1 · Planificar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Producto 1.2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Especifica la definición de la voz y personalidad de marca para el contenido digital</w:t>
      </w:r>
    </w:p>
    <w:p>
      <w:pPr>
        <w:pStyle w:val="ListBullet"/>
      </w:pPr>
      <w:r>
        <w:t>(b) Incluye los lineamientos de tono y estilo por plataforma digital</w:t>
      </w:r>
    </w:p>
    <w:p>
      <w:pPr>
        <w:pStyle w:val="ListBullet"/>
      </w:pPr>
      <w:r>
        <w:t>(c) Precisa los tipos de contenido digital de texto/imagen/audio/video recomendados por etapa del embudo de ventas de acuerdo con la información clave recabada en el levantamiento</w:t>
      </w:r>
    </w:p>
    <w:p>
      <w:pPr>
        <w:pStyle w:val="ListBullet"/>
      </w:pPr>
      <w:r>
        <w:t>(d) Contiene la tabla de análisis conformada por: la justificación de la(s) plataforma(s) digital(es) a utilizar por audiencia, el tipo de formato con especificaciones técnicas, las herramientas/plataformas de IA recomendadas por tipo de contenido digital y la frecuencia de publicación acorde a la capacidad operativa</w:t>
      </w:r>
    </w:p>
    <w:p>
      <w:pPr>
        <w:pStyle w:val="ListBullet"/>
      </w:pPr>
      <w:r>
        <w:t>(e) Indica los horarios de publicación sugeridos por plataforma digital conforme a las recomendaciones de la IA y a los hábitos del público objetivo</w:t>
      </w:r>
    </w:p>
    <w:p>
      <w:pPr>
        <w:pStyle w:val="ListBullet"/>
      </w:pPr>
      <w:r>
        <w:t>(f) Incluye la vinculación a las temporadas comerciales relevantes para el sector del negocio</w:t>
      </w:r>
    </w:p>
    <w:p>
      <w:pPr>
        <w:pStyle w:val="ListBullet"/>
      </w:pPr>
      <w:r>
        <w:t>(g) Especifica la distribución de los tipos de contenido digital a lo largo del periodo, considerando al menos cuatro semanas de planificación</w:t>
      </w:r>
    </w:p>
    <w:p>
      <w:pPr>
        <w:pStyle w:val="ListBullet"/>
      </w:pPr>
      <w:r>
        <w:t>(h) Incluye al menos dos objetivos medibles vinculados al negocio y sus respectivas métricas de seguimiento</w:t>
      </w:r>
    </w:p>
    <w:p>
      <w:pPr>
        <w:pStyle w:val="ListBullet"/>
      </w:pPr>
      <w:r>
        <w:t>(i) Incluye el presupuesto/monto de inversión requerido de implementación, de acuerdo con el contexto de la MiPyME</w:t>
      </w:r>
    </w:p>
    <w:p>
      <w:pPr>
        <w:pStyle w:val="ListBullet"/>
      </w:pPr>
      <w:r>
        <w:t>(j) Contiene la evidencia de aprobación de la estrategia de mercadotecnia digital planteada por parte de la persona responsable del mercadotecnia digital en la MiPyME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 w:val="true"/>
          <w:tblHeader w:val="true"/>
        </w:trPr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MiPyME (razón social)</w:t>
            </w:r>
          </w:p>
        </w:tc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Persona responsable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Consultor responsable</w:t>
            </w:r>
          </w:p>
        </w:tc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Fecha del documento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