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C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Checklist de desempeños · Ruta C</w:t>
      </w:r>
    </w:p>
    <w:p>
      <w:r>
        <w:t>Material de autoevaluación basado en documentos de trabajo. Revisa la versión oficial cuando el estándar sea aprobado y publicado.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cantSplit w:val="true"/>
          <w:tblHeader w:val="true"/>
        </w:trPr>
        <w:tc>
          <w:tcPr>
            <w:tcW w:type="dxa" w:w="5184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Criterio o evidencia</w:t>
            </w:r>
          </w:p>
        </w:tc>
        <w:tc>
          <w:tcPr>
            <w:tcW w:type="dxa" w:w="1224"/>
            <w:shd w:val="clear" w:color="auto" w:fill="28467E"/>
            <w:vAlign w:val="top"/>
          </w:tcPr>
          <w:p>
            <w:pPr>
              <w:spacing w:before="0" w:after="40" w:line="240" w:lineRule="auto"/>
              <w:jc w:val="center"/>
            </w:pPr>
            <w:r>
              <w:rPr>
                <w:b/>
                <w:color w:val="FFFFFF"/>
                <w:sz w:val="19"/>
              </w:rPr>
              <w:t>Preparado</w:t>
            </w:r>
          </w:p>
        </w:tc>
        <w:tc>
          <w:tcPr>
            <w:tcW w:type="dxa" w:w="1368"/>
            <w:shd w:val="clear" w:color="auto" w:fill="28467E"/>
            <w:vAlign w:val="top"/>
          </w:tcPr>
          <w:p>
            <w:pPr>
              <w:spacing w:before="0" w:after="40" w:line="240" w:lineRule="auto"/>
              <w:jc w:val="center"/>
            </w:pPr>
            <w:r>
              <w:rPr>
                <w:b/>
                <w:color w:val="FFFFFF"/>
                <w:sz w:val="19"/>
              </w:rPr>
              <w:t>Por reforzar</w:t>
            </w:r>
          </w:p>
        </w:tc>
        <w:tc>
          <w:tcPr>
            <w:tcW w:type="dxa" w:w="2160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Notas / ubicación de evidencia</w:t>
            </w:r>
          </w:p>
        </w:tc>
      </w:tr>
      <w:tr>
        <w:tc>
          <w:tcPr>
            <w:tcW w:type="dxa" w:w="5184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Desempeño 1.1 · Validar la estrategia de contenido con la persona responsable de la MiPyME</w:t>
            </w:r>
          </w:p>
        </w:tc>
        <w:tc>
          <w:tcPr>
            <w:tcW w:type="dxa" w:w="1224"/>
            <w:vAlign w:val="top"/>
          </w:tcPr>
          <w:p>
            <w:pPr>
              <w:spacing w:before="0" w:after="40" w:line="240" w:lineRule="auto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1368"/>
            <w:vAlign w:val="top"/>
          </w:tcPr>
          <w:p>
            <w:pPr>
              <w:spacing w:before="0" w:after="40" w:line="240" w:lineRule="auto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2160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5184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Desempeño 2.1 · Generar contenido de texto con IA</w:t>
            </w:r>
          </w:p>
        </w:tc>
        <w:tc>
          <w:tcPr>
            <w:tcW w:type="dxa" w:w="1224"/>
            <w:shd w:val="clear" w:color="auto" w:fill="F3F6FB"/>
            <w:vAlign w:val="top"/>
          </w:tcPr>
          <w:p>
            <w:pPr>
              <w:spacing w:before="0" w:after="40" w:line="240" w:lineRule="auto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1368"/>
            <w:shd w:val="clear" w:color="auto" w:fill="F3F6FB"/>
            <w:vAlign w:val="top"/>
          </w:tcPr>
          <w:p>
            <w:pPr>
              <w:spacing w:before="0" w:after="40" w:line="240" w:lineRule="auto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2160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5184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Desempeño 2.2 · Generar contenido de imagen con IA</w:t>
            </w:r>
          </w:p>
        </w:tc>
        <w:tc>
          <w:tcPr>
            <w:tcW w:type="dxa" w:w="1224"/>
            <w:vAlign w:val="top"/>
          </w:tcPr>
          <w:p>
            <w:pPr>
              <w:spacing w:before="0" w:after="40" w:line="240" w:lineRule="auto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1368"/>
            <w:vAlign w:val="top"/>
          </w:tcPr>
          <w:p>
            <w:pPr>
              <w:spacing w:before="0" w:after="40" w:line="240" w:lineRule="auto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2160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5184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Desempeño 2.3 · Generar contenido de audio con IA</w:t>
            </w:r>
          </w:p>
        </w:tc>
        <w:tc>
          <w:tcPr>
            <w:tcW w:type="dxa" w:w="1224"/>
            <w:shd w:val="clear" w:color="auto" w:fill="F3F6FB"/>
            <w:vAlign w:val="top"/>
          </w:tcPr>
          <w:p>
            <w:pPr>
              <w:spacing w:before="0" w:after="40" w:line="240" w:lineRule="auto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1368"/>
            <w:shd w:val="clear" w:color="auto" w:fill="F3F6FB"/>
            <w:vAlign w:val="top"/>
          </w:tcPr>
          <w:p>
            <w:pPr>
              <w:spacing w:before="0" w:after="40" w:line="240" w:lineRule="auto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2160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5184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Desempeño 2.4 · Generar contenido de video con IA</w:t>
            </w:r>
          </w:p>
        </w:tc>
        <w:tc>
          <w:tcPr>
            <w:tcW w:type="dxa" w:w="1224"/>
            <w:vAlign w:val="top"/>
          </w:tcPr>
          <w:p>
            <w:pPr>
              <w:spacing w:before="0" w:after="40" w:line="240" w:lineRule="auto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1368"/>
            <w:vAlign w:val="top"/>
          </w:tcPr>
          <w:p>
            <w:pPr>
              <w:spacing w:before="0" w:after="40" w:line="240" w:lineRule="auto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2160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5184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Desempeño 3.1 · Publicar contenido en plataformas y documentar la implementación</w:t>
            </w:r>
          </w:p>
        </w:tc>
        <w:tc>
          <w:tcPr>
            <w:tcW w:type="dxa" w:w="1224"/>
            <w:shd w:val="clear" w:color="auto" w:fill="F3F6FB"/>
            <w:vAlign w:val="top"/>
          </w:tcPr>
          <w:p>
            <w:pPr>
              <w:spacing w:before="0" w:after="40" w:line="240" w:lineRule="auto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1368"/>
            <w:shd w:val="clear" w:color="auto" w:fill="F3F6FB"/>
            <w:vAlign w:val="top"/>
          </w:tcPr>
          <w:p>
            <w:pPr>
              <w:spacing w:before="0" w:after="40" w:line="240" w:lineRule="auto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2160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5184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Desempeño 3.2 · Habilitar al personal responsable para operar el proceso</w:t>
            </w:r>
          </w:p>
        </w:tc>
        <w:tc>
          <w:tcPr>
            <w:tcW w:type="dxa" w:w="1224"/>
            <w:vAlign w:val="top"/>
          </w:tcPr>
          <w:p>
            <w:pPr>
              <w:spacing w:before="0" w:after="40" w:line="240" w:lineRule="auto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1368"/>
            <w:vAlign w:val="top"/>
          </w:tcPr>
          <w:p>
            <w:pPr>
              <w:spacing w:before="0" w:after="40" w:line="240" w:lineRule="auto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2160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5184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Desempeño 4.1 · Presentar resultados, recomendaciones y obtener validación</w:t>
            </w:r>
          </w:p>
        </w:tc>
        <w:tc>
          <w:tcPr>
            <w:tcW w:type="dxa" w:w="1224"/>
            <w:shd w:val="clear" w:color="auto" w:fill="F3F6FB"/>
            <w:vAlign w:val="top"/>
          </w:tcPr>
          <w:p>
            <w:pPr>
              <w:spacing w:before="0" w:after="40" w:line="240" w:lineRule="auto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1368"/>
            <w:shd w:val="clear" w:color="auto" w:fill="F3F6FB"/>
            <w:vAlign w:val="top"/>
          </w:tcPr>
          <w:p>
            <w:pPr>
              <w:spacing w:before="0" w:after="40" w:line="240" w:lineRule="auto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2160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