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28467E"/>
          <w:sz w:val="48"/>
        </w:rPr>
        <w:t>Manual del Aspirante</w:t>
        <w:br/>
        <w:t>Implementación de soluciones con IA en los procesos de la MiPyME</w:t>
      </w:r>
    </w:p>
    <w:p>
      <w:pPr>
        <w:spacing w:after="960"/>
      </w:pPr>
      <w:r>
        <w:rPr>
          <w:color w:val="529ED7"/>
          <w:sz w:val="28"/>
        </w:rPr>
        <w:t>Mi CompañIA (FUNDES Latinoamérica + Google.org)</w:t>
      </w:r>
    </w:p>
    <w:p>
      <w:r>
        <w:br w:type="page"/>
      </w:r>
    </w:p>
    <w:p>
      <w:pPr>
        <w:spacing w:before="480" w:after="40"/>
      </w:pPr>
      <w:r>
        <w:rPr>
          <w:b/>
          <w:color w:val="787878"/>
          <w:sz w:val="18"/>
        </w:rPr>
        <w:t>MANUAL DEL ASPIRANTE · IMPLEMENTAR IA · V2.0</w:t>
      </w:r>
    </w:p>
    <w:p>
      <w:pPr>
        <w:pStyle w:val="Heading1"/>
        <w:spacing w:before="120" w:after="240"/>
      </w:pPr>
      <w:r>
        <w:rPr>
          <w:color w:val="28467E"/>
        </w:rPr>
        <w:t>Implementación de soluciones conIAen los procesos de la MiPyME</w:t>
      </w:r>
    </w:p>
    <w:p>
      <w:pPr>
        <w:spacing w:after="360"/>
      </w:pPr>
      <w:r>
        <w:rPr>
          <w:i/>
          <w:color w:val="505050"/>
          <w:sz w:val="22"/>
        </w:rPr>
        <w:t>Guía completa para preparar y presentar tu evaluación con fines de certificación CONOCER. Si tu trabajo es acompañar a MiPyMEs a incorporar IA a sus procesos cotidianos, este manual te llevará paso a paso al día de tu evaluación.</w:t>
      </w:r>
    </w:p>
    <w:p>
      <w:pPr>
        <w:pStyle w:val="Heading2"/>
        <w:spacing w:before="360" w:after="120"/>
      </w:pPr>
      <w:r>
        <w:rPr>
          <w:color w:val="529ED7"/>
        </w:rPr>
        <w:t>1.1 Bienvenida</w:t>
      </w:r>
    </w:p>
    <w:p>
      <w:pPr>
        <w:spacing w:after="120" w:line="276" w:lineRule="auto"/>
      </w:pPr>
      <w:r>
        <w:t xml:space="preserve">Este manual está dedicado en exclusiva al Estándar de Competencia A: </w:t>
      </w:r>
      <w:r>
        <w:rPr>
          <w:b/>
        </w:rPr>
      </w:r>
      <w:r>
        <w:t>Implementación de soluciones con Inteligencia Artificial en los procesos de la MiPyME</w:t>
      </w:r>
      <w:r>
        <w:t>. Es el documento que te acompañará a lo largo de tu preparación y al que volverás una y otra vez hasta el día de tu evaluación.</w:t>
      </w:r>
    </w:p>
    <w:p>
      <w:pPr>
        <w:spacing w:after="120" w:line="276" w:lineRule="auto"/>
      </w:pPr>
      <w:r>
        <w:t xml:space="preserve">El Estándar A está dirigido a quienes acompañan a las MiPyMEs en la incorporación de la inteligencia artificial dentro de sus procesos cotidianos. </w:t>
      </w:r>
      <w:r>
        <w:rPr>
          <w:b/>
        </w:rPr>
      </w:r>
      <w:r>
        <w:t>No es un estándar para desarrolladores de software ni para creadores de contenido digital.</w:t>
      </w:r>
      <w:r>
        <w:t xml:space="preserve"> Es para consultores: profesionales que llegan a la MiPyME, escuchan su operación, diagnostican dónde la IA puede aportar valor, proponen una hoja de ruta realista, ejecutan la implementación con las herramientas disponibles en el mercado y, al final, evalúan los resultados junto al emprendedor.</w:t>
      </w:r>
    </w:p>
    <w:p>
      <w:pPr>
        <w:spacing w:after="120" w:line="276" w:lineRule="auto"/>
      </w:pPr>
      <w:r>
        <w:t xml:space="preserve">Si tu trabajo cotidiano se parece a esto —si has facilitado talleres con personal de MiPyMEs, has configurado herramientas de IA generativa para automatizar tareas administrativas, has capacitado a equipos pequeños en el uso de chatbots o asistentes de IA, has medido el impacto de esas implementaciones—, </w:t>
      </w:r>
      <w:r>
        <w:rPr>
          <w:b/>
        </w:rPr>
      </w:r>
      <w:r>
        <w:t>este es tu estándar</w:t>
      </w:r>
      <w:r>
        <w:t>.</w:t>
      </w:r>
    </w:p>
    <w:p>
      <w:pPr>
        <w:spacing w:after="120" w:line="276" w:lineRule="auto"/>
      </w:pPr>
      <w:r>
        <w:t>Este manual te guiará a través de tres tareas paralelas: comprender con precisión qué se te evaluará, preparar las evidencias que requerirás, y practicar los desempeños que tu evaluador observará. Si lo estudias con la disciplina que la certificación merece, llegarás al día de tu evaluación con confianza.</w:t>
      </w:r>
    </w:p>
    <w:p>
      <w:pPr>
        <w:pStyle w:val="Heading2"/>
        <w:spacing w:before="360" w:after="120"/>
      </w:pPr>
      <w:r>
        <w:rPr>
          <w:color w:val="529ED7"/>
        </w:rPr>
        <w:t>1.2 Antes de empezar</w:t>
      </w:r>
    </w:p>
    <w:p>
      <w:pPr>
        <w:spacing w:after="120" w:line="276" w:lineRule="auto"/>
      </w:pPr>
      <w:r>
        <w:t xml:space="preserve">Este manual está pensado para ser autosuficiente: puedes leerlo sin haber leído antes el </w:t>
      </w:r>
      <w:r>
        <w:rPr>
          <w:color w:val="529ED7"/>
          <w:u w:val="single"/>
        </w:rPr>
      </w:r>
      <w:r>
        <w:t>Curso introductorio</w:t>
      </w:r>
      <w:r>
        <w:t>. No obstante, conviene tener presente algunos elementos del marco general.</w:t>
      </w:r>
    </w:p>
    <w:p>
      <w:pPr>
        <w:pStyle w:val="Heading3"/>
        <w:spacing w:before="240" w:after="80"/>
      </w:pPr>
      <w:r>
        <w:rPr>
          <w:color w:val="28467E"/>
        </w:rPr>
        <w:t>La certificación CONOCER, en resumen</w:t>
      </w:r>
    </w:p>
    <w:p>
      <w:pPr>
        <w:spacing w:after="120" w:line="276" w:lineRule="auto"/>
      </w:pPr>
      <w:r>
        <w:t xml:space="preserve">La certificación que obtendrás es expedida por la </w:t>
      </w:r>
      <w:r>
        <w:rPr>
          <w:b/>
        </w:rPr>
      </w:r>
      <w:r>
        <w:t>Secretaría de Educación Pública</w:t>
      </w:r>
      <w:r>
        <w:t xml:space="preserve"> a través del </w:t>
      </w:r>
      <w:r>
        <w:rPr>
          <w:b/>
        </w:rPr>
      </w:r>
      <w:r>
        <w:t>CONOCER</w:t>
      </w:r>
      <w:r>
        <w:t xml:space="preserve">. El Certificado se incorpora al Registro Nacional de Personas Certificadas y tiene validez en todo el territorio nacional. Para los Estándares inscritos en el RENEC </w:t>
      </w:r>
      <w:r>
        <w:rPr>
          <w:b/>
        </w:rPr>
      </w:r>
      <w:r>
        <w:t>no se requiere por disposición legal la posesión de un título profesional</w:t>
      </w:r>
      <w:r>
        <w:t xml:space="preserve"> </w:t>
      </w:r>
      <w:r>
        <w:rPr>
          <w:color w:val="529ED7"/>
          <w:u w:val="single"/>
        </w:rPr>
      </w:r>
      <w:r>
        <w:t>[3]</w:t>
      </w:r>
      <w:r>
        <w:t>.</w:t>
      </w:r>
    </w:p>
    <w:p>
      <w:pPr>
        <w:pStyle w:val="Heading3"/>
        <w:spacing w:before="240" w:after="80"/>
      </w:pPr>
      <w:r>
        <w:rPr>
          <w:color w:val="28467E"/>
        </w:rPr>
        <w:t>La lógica de la evaluación</w:t>
      </w:r>
    </w:p>
    <w:p>
      <w:pPr>
        <w:spacing w:after="120" w:line="276" w:lineRule="auto"/>
      </w:pPr>
      <w:r>
        <w:t xml:space="preserve">La evaluación CONOCER se construye sobre </w:t>
      </w:r>
      <w:r>
        <w:rPr>
          <w:b/>
        </w:rPr>
      </w:r>
      <w:r>
        <w:t>evidencias verificables</w:t>
      </w:r>
      <w:r>
        <w:t xml:space="preserve">. No es un examen teórico: lo que se te evaluará es tu capacidad de ejecutar la función con calidad. Tu evaluador combinará cuatro fuentes de información: </w:t>
      </w:r>
      <w:r>
        <w:rPr>
          <w:b/>
        </w:rPr>
      </w:r>
      <w:r>
        <w:t>desempeños</w:t>
      </w:r>
      <w:r>
        <w:t xml:space="preserve">, </w:t>
      </w:r>
      <w:r>
        <w:rPr>
          <w:b/>
        </w:rPr>
      </w:r>
      <w:r>
        <w:t>productos</w:t>
      </w:r>
      <w:r>
        <w:t xml:space="preserve">, </w:t>
      </w:r>
      <w:r>
        <w:rPr>
          <w:b/>
        </w:rPr>
      </w:r>
      <w:r>
        <w:t>conocimientos</w:t>
      </w:r>
      <w:r>
        <w:t xml:space="preserve"> y </w:t>
      </w:r>
      <w:r>
        <w:rPr>
          <w:b/>
        </w:rPr>
      </w:r>
      <w:r>
        <w:t>actitudes/hábitos/valores</w:t>
      </w:r>
      <w:r>
        <w:t>.</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Importante: </w:t>
            </w:r>
            <w:r>
              <w:t>El Estándar Ano contempla situaciones emergentescomo criterio de evaluación. Los criterios se limitan a desempeños, productos, conocimientos y AHV. Los tres elementos incorporan AHV que serán observados durante la ejecución de los desempeños.</w:t>
            </w:r>
          </w:p>
        </w:tc>
      </w:tr>
    </w:tbl>
    <w:p>
      <w:pPr>
        <w:spacing w:after="120"/>
      </w:pPr>
    </w:p>
    <w:p>
      <w:pPr>
        <w:pStyle w:val="Heading3"/>
        <w:spacing w:before="240" w:after="80"/>
      </w:pPr>
      <w:r>
        <w:rPr>
          <w:color w:val="28467E"/>
        </w:rPr>
        <w:t>Lo que tendrás que tener listo</w:t>
      </w:r>
    </w:p>
    <w:p>
      <w:pPr>
        <w:spacing w:after="120" w:line="276" w:lineRule="auto"/>
      </w:pPr>
      <w:r>
        <w:t>Marca tu nivel de preparación. Se guarda en tu navegador:</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Para tener presente: </w:t>
            </w:r>
            <w:r>
              <w:t>Te recomendamos comenzar a estudiar este manualal menos un mes antesde tu fecha tentativa de evaluación. La preparación de los productos documentales toma tiempo y revisiones.Si nunca has trabajado con una MiPyME real en un proyecto de implementación de IA, tu preparación deberá iniciarse antes, por la obtención de esa experiencia. La evaluación no se aprueba con teoría.</w:t>
            </w:r>
          </w:p>
        </w:tc>
      </w:tr>
    </w:tbl>
    <w:p>
      <w:pPr>
        <w:spacing w:after="120"/>
      </w:pPr>
    </w:p>
    <w:p>
      <w:pPr>
        <w:pStyle w:val="Heading2"/>
        <w:spacing w:before="360" w:after="120"/>
      </w:pPr>
      <w:r>
        <w:rPr>
          <w:color w:val="529ED7"/>
        </w:rPr>
        <w:t>1.3 Qué función certifica el Estándar A</w:t>
      </w:r>
    </w:p>
    <w:p>
      <w:pPr>
        <w:pStyle w:val="Heading3"/>
        <w:spacing w:before="240" w:after="80"/>
      </w:pPr>
      <w:r>
        <w:rPr>
          <w:color w:val="28467E"/>
        </w:rPr>
        <w:t>Función certificada conforme al F21</w:t>
      </w:r>
    </w:p>
    <w:p>
      <w:pPr>
        <w:spacing w:after="120" w:line="276" w:lineRule="auto"/>
      </w:pPr>
      <w:r>
        <w:t xml:space="preserve">El Estándar A certifica la competencia para </w:t>
      </w:r>
      <w:r>
        <w:rPr>
          <w:b/>
        </w:rPr>
      </w:r>
      <w:r>
        <w:t>implementar soluciones con inteligencia artificial en los procesos operativos de una MiPyME</w:t>
      </w:r>
      <w:r>
        <w:t>. La función incluye tres momentos sustantivos: planear, ejecutar y evaluar.</w:t>
      </w:r>
    </w:p>
    <w:p>
      <w:pPr>
        <w:spacing w:after="120" w:line="276" w:lineRule="auto"/>
      </w:pPr>
      <w:r>
        <w:t xml:space="preserve">Conforme al propósito consignado en el F21 </w:t>
      </w:r>
      <w:r>
        <w:rPr>
          <w:color w:val="529ED7"/>
          <w:u w:val="single"/>
        </w:rPr>
      </w:r>
      <w:r>
        <w:t>[4]</w:t>
      </w:r>
      <w:r>
        <w:t>, la función certificada comprende:</w:t>
      </w:r>
    </w:p>
    <w:p>
      <w:pPr>
        <w:pStyle w:val="ListBullet"/>
        <w:spacing w:after="60" w:line="276" w:lineRule="auto"/>
      </w:pPr>
      <w:r>
        <w:rPr>
          <w:b/>
        </w:rPr>
      </w:r>
      <w:r>
        <w:t>Planear soluciones de IA alineadas a la MiPyME.</w:t>
      </w:r>
      <w:r>
        <w:t xml:space="preserve"> Recopilar información sobre los procesos operativos, identificar oportunidades de mejora, evaluar la madurez digital, seleccionar tecnologías pertinentes, construir la hoja de ruta y validar la propuesta económica.</w:t>
      </w:r>
    </w:p>
    <w:p>
      <w:pPr>
        <w:pStyle w:val="ListBullet"/>
        <w:spacing w:after="60" w:line="276" w:lineRule="auto"/>
      </w:pPr>
      <w:r>
        <w:rPr>
          <w:b/>
        </w:rPr>
      </w:r>
      <w:r>
        <w:t>Ejecutar la implementación en los procesos clave.</w:t>
      </w:r>
      <w:r>
        <w:t xml:space="preserve"> Configurar las herramientas de IA en el entorno tecnológico de la MiPyME, integrarlas con los sistemas existentes, elaborar material de capacitación y habilitar al personal en su uso autónomo.</w:t>
      </w:r>
    </w:p>
    <w:p>
      <w:pPr>
        <w:pStyle w:val="ListBullet"/>
        <w:spacing w:after="60" w:line="276" w:lineRule="auto"/>
      </w:pPr>
      <w:r>
        <w:rPr>
          <w:b/>
        </w:rPr>
      </w:r>
      <w:r>
        <w:t>Evaluar los resultados y el impacto.</w:t>
      </w:r>
      <w:r>
        <w:t xml:space="preserve"> Comparar indicadores antes/después, estimar ROI, documentar incidencias y acciones correctivas, presentar resultados al emprendedor y formalizar el cierre.</w:t>
      </w:r>
    </w:p>
    <w:p>
      <w:pPr>
        <w:pStyle w:val="Heading2"/>
        <w:spacing w:before="360" w:after="120"/>
      </w:pPr>
      <w:r>
        <w:rPr>
          <w:color w:val="529ED7"/>
        </w:rPr>
        <w:t>1.4 Qué hace y qué no hace un consultor del Estándar A</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Importante: </w:t>
            </w:r>
            <w:r>
              <w:t>El Estándar A trabaja conherramientas de IA existentes en el mercado: ChatGPT, Claude, Copilot, Gemini, plataformas de automatización (Zapier, Make, n8n), CRMs con módulos de IA, asistentes verticales, herramientas de análisis con IA, entre otras. Lo que se evalúa es tu capacidad deseleccionar las apropiadas y configurarlas en el contexto de la MiPyME, no tu capacidad de desarrollarlas. Si llegas a la evaluación con una solución que construiste programando, estás en el estándar incorrecto.</w:t>
            </w:r>
          </w:p>
        </w:tc>
      </w:tr>
    </w:tbl>
    <w:p>
      <w:pPr>
        <w:spacing w:after="120"/>
      </w:pPr>
    </w:p>
    <w:p>
      <w:pPr>
        <w:pStyle w:val="Heading2"/>
        <w:spacing w:before="360" w:after="120"/>
      </w:pPr>
      <w:r>
        <w:rPr>
          <w:color w:val="529ED7"/>
        </w:rPr>
        <w:t>1.5 Ficha técnica del Estándar</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r>
            <w:r>
              <w:rPr>
                <w:b/>
              </w:rPr>
              <w:t>Título oficial</w:t>
            </w:r>
          </w:p>
        </w:tc>
        <w:tc>
          <w:tcPr>
            <w:tcW w:type="dxa" w:w="4320"/>
            <w:shd w:fill="E5E7EB"/>
            <w:tcMar>
              <w:top w:w="100" w:type="dxa"/>
              <w:bottom w:w="100" w:type="dxa"/>
              <w:left w:w="120" w:type="dxa"/>
              <w:right w:w="120" w:type="dxa"/>
            </w:tcMar>
          </w:tcPr>
          <w:p>
            <w:pPr>
              <w:spacing w:after="40" w:line="240" w:lineRule="auto"/>
            </w:pPr>
            <w:r>
              <w:rPr>
                <w:b/>
              </w:rPr>
              <w:t>Implementación de soluciones con Inteligencia Artificial en los procesos de la MiPyME</w:t>
            </w:r>
          </w:p>
        </w:tc>
      </w:tr>
      <w:tr>
        <w:tc>
          <w:tcPr>
            <w:tcW w:type="dxa" w:w="4320"/>
            <w:tcMar>
              <w:top w:w="100" w:type="dxa"/>
              <w:bottom w:w="100" w:type="dxa"/>
              <w:left w:w="120" w:type="dxa"/>
              <w:right w:w="120" w:type="dxa"/>
            </w:tcMar>
          </w:tcPr>
          <w:p>
            <w:pPr>
              <w:spacing w:after="40" w:line="240" w:lineRule="auto"/>
            </w:pPr>
            <w:r>
              <w:rPr>
                <w:b/>
              </w:rPr>
            </w:r>
            <w:r>
              <w:t>Nivel en el SNC</w:t>
            </w:r>
          </w:p>
        </w:tc>
        <w:tc>
          <w:tcPr>
            <w:tcW w:type="dxa" w:w="4320"/>
            <w:tcMar>
              <w:top w:w="100" w:type="dxa"/>
              <w:bottom w:w="100" w:type="dxa"/>
              <w:left w:w="120" w:type="dxa"/>
              <w:right w:w="120" w:type="dxa"/>
            </w:tcMar>
          </w:tcPr>
          <w:p>
            <w:pPr>
              <w:spacing w:after="40" w:line="240" w:lineRule="auto"/>
            </w:pPr>
            <w:r>
              <w:t>Tres</w:t>
            </w:r>
          </w:p>
        </w:tc>
      </w:tr>
      <w:tr>
        <w:tc>
          <w:tcPr>
            <w:tcW w:type="dxa" w:w="4320"/>
            <w:tcMar>
              <w:top w:w="100" w:type="dxa"/>
              <w:bottom w:w="100" w:type="dxa"/>
              <w:left w:w="120" w:type="dxa"/>
              <w:right w:w="120" w:type="dxa"/>
            </w:tcMar>
          </w:tcPr>
          <w:p>
            <w:pPr>
              <w:spacing w:after="40" w:line="240" w:lineRule="auto"/>
            </w:pPr>
            <w:r>
              <w:rPr>
                <w:b/>
              </w:rPr>
            </w:r>
            <w:r>
              <w:t>Descripción del nivel</w:t>
            </w:r>
          </w:p>
        </w:tc>
        <w:tc>
          <w:tcPr>
            <w:tcW w:type="dxa" w:w="4320"/>
            <w:tcMar>
              <w:top w:w="100" w:type="dxa"/>
              <w:bottom w:w="100" w:type="dxa"/>
              <w:left w:w="120" w:type="dxa"/>
              <w:right w:w="120" w:type="dxa"/>
            </w:tcMar>
          </w:tcPr>
          <w:p>
            <w:pPr>
              <w:spacing w:after="40" w:line="240" w:lineRule="auto"/>
            </w:pPr>
            <w:r>
              <w:t>Desempeña actividades tanto programadas, rutinarias como impredecibles. Recibe orientaciones generales e instrucciones específicas de un superior. Requiere supervisar y orientar a otros trabajadores jerárquicamente subordinados.</w:t>
            </w:r>
          </w:p>
        </w:tc>
      </w:tr>
      <w:tr>
        <w:tc>
          <w:tcPr>
            <w:tcW w:type="dxa" w:w="4320"/>
            <w:tcMar>
              <w:top w:w="100" w:type="dxa"/>
              <w:bottom w:w="100" w:type="dxa"/>
              <w:left w:w="120" w:type="dxa"/>
              <w:right w:w="120" w:type="dxa"/>
            </w:tcMar>
          </w:tcPr>
          <w:p>
            <w:pPr>
              <w:spacing w:after="40" w:line="240" w:lineRule="auto"/>
            </w:pPr>
            <w:r>
              <w:rPr>
                <w:b/>
              </w:rPr>
            </w:r>
            <w:r>
              <w:t>Número de elementos</w:t>
            </w:r>
          </w:p>
        </w:tc>
        <w:tc>
          <w:tcPr>
            <w:tcW w:type="dxa" w:w="4320"/>
            <w:tcMar>
              <w:top w:w="100" w:type="dxa"/>
              <w:bottom w:w="100" w:type="dxa"/>
              <w:left w:w="120" w:type="dxa"/>
              <w:right w:w="120" w:type="dxa"/>
            </w:tcMar>
          </w:tcPr>
          <w:p>
            <w:pPr>
              <w:spacing w:after="40" w:line="240" w:lineRule="auto"/>
            </w:pPr>
            <w:r>
              <w:t>Tres</w:t>
            </w:r>
          </w:p>
        </w:tc>
      </w:tr>
      <w:tr>
        <w:tc>
          <w:tcPr>
            <w:tcW w:type="dxa" w:w="4320"/>
            <w:tcMar>
              <w:top w:w="100" w:type="dxa"/>
              <w:bottom w:w="100" w:type="dxa"/>
              <w:left w:w="120" w:type="dxa"/>
              <w:right w:w="120" w:type="dxa"/>
            </w:tcMar>
          </w:tcPr>
          <w:p>
            <w:pPr>
              <w:spacing w:after="40" w:line="240" w:lineRule="auto"/>
            </w:pPr>
            <w:r>
              <w:rPr>
                <w:b/>
              </w:rPr>
            </w:r>
            <w:r>
              <w:t>CGC que lo desarrolló</w:t>
            </w:r>
          </w:p>
        </w:tc>
        <w:tc>
          <w:tcPr>
            <w:tcW w:type="dxa" w:w="4320"/>
            <w:tcMar>
              <w:top w:w="100" w:type="dxa"/>
              <w:bottom w:w="100" w:type="dxa"/>
              <w:left w:w="120" w:type="dxa"/>
              <w:right w:w="120" w:type="dxa"/>
            </w:tcMar>
          </w:tcPr>
          <w:p>
            <w:pPr>
              <w:spacing w:after="40" w:line="240" w:lineRule="auto"/>
            </w:pPr>
            <w:r>
              <w:t>FUNDES, con participación de ALAPSI y el Instituto Estatal de Capacitación del Estado de Guanajuato (IECA)</w:t>
            </w:r>
          </w:p>
        </w:tc>
      </w:tr>
      <w:tr>
        <w:tc>
          <w:tcPr>
            <w:tcW w:type="dxa" w:w="4320"/>
            <w:tcMar>
              <w:top w:w="100" w:type="dxa"/>
              <w:bottom w:w="100" w:type="dxa"/>
              <w:left w:w="120" w:type="dxa"/>
              <w:right w:w="120" w:type="dxa"/>
            </w:tcMar>
          </w:tcPr>
          <w:p>
            <w:pPr>
              <w:spacing w:after="40" w:line="240" w:lineRule="auto"/>
            </w:pPr>
            <w:r>
              <w:rPr>
                <w:b/>
              </w:rPr>
            </w:r>
            <w:r>
              <w:t>Periodo de revisión sugerido</w:t>
            </w:r>
          </w:p>
        </w:tc>
        <w:tc>
          <w:tcPr>
            <w:tcW w:type="dxa" w:w="4320"/>
            <w:tcMar>
              <w:top w:w="100" w:type="dxa"/>
              <w:bottom w:w="100" w:type="dxa"/>
              <w:left w:w="120" w:type="dxa"/>
              <w:right w:w="120" w:type="dxa"/>
            </w:tcMar>
          </w:tcPr>
          <w:p>
            <w:pPr>
              <w:spacing w:after="40" w:line="240" w:lineRule="auto"/>
            </w:pPr>
            <w:r>
              <w:t>Dos años</w:t>
            </w:r>
          </w:p>
        </w:tc>
      </w:tr>
      <w:tr>
        <w:tc>
          <w:tcPr>
            <w:tcW w:type="dxa" w:w="4320"/>
            <w:tcMar>
              <w:top w:w="100" w:type="dxa"/>
              <w:bottom w:w="100" w:type="dxa"/>
              <w:left w:w="120" w:type="dxa"/>
              <w:right w:w="120" w:type="dxa"/>
            </w:tcMar>
          </w:tcPr>
          <w:p>
            <w:pPr>
              <w:spacing w:after="40" w:line="240" w:lineRule="auto"/>
            </w:pPr>
            <w:r>
              <w:rPr>
                <w:b/>
              </w:rPr>
            </w:r>
            <w:r>
              <w:t>Clasificación SCIAN</w:t>
            </w:r>
          </w:p>
        </w:tc>
        <w:tc>
          <w:tcPr>
            <w:tcW w:type="dxa" w:w="4320"/>
            <w:tcMar>
              <w:top w:w="100" w:type="dxa"/>
              <w:bottom w:w="100" w:type="dxa"/>
              <w:left w:w="120" w:type="dxa"/>
              <w:right w:w="120" w:type="dxa"/>
            </w:tcMar>
          </w:tcPr>
          <w:p>
            <w:pPr>
              <w:spacing w:after="40" w:line="240" w:lineRule="auto"/>
            </w:pPr>
            <w:r>
              <w:t>541510 — Servicios de diseño de sistemas de cómputo y servicios relacionados</w:t>
            </w:r>
          </w:p>
        </w:tc>
      </w:tr>
      <w:tr>
        <w:tc>
          <w:tcPr>
            <w:tcW w:type="dxa" w:w="4320"/>
            <w:tcMar>
              <w:top w:w="100" w:type="dxa"/>
              <w:bottom w:w="100" w:type="dxa"/>
              <w:left w:w="120" w:type="dxa"/>
              <w:right w:w="120" w:type="dxa"/>
            </w:tcMar>
          </w:tcPr>
          <w:p>
            <w:pPr>
              <w:spacing w:after="40" w:line="240" w:lineRule="auto"/>
            </w:pPr>
            <w:r>
              <w:rPr>
                <w:b/>
              </w:rPr>
            </w:r>
            <w:r>
              <w:t>Grupo unitario SINCO</w:t>
            </w:r>
          </w:p>
        </w:tc>
        <w:tc>
          <w:tcPr>
            <w:tcW w:type="dxa" w:w="4320"/>
            <w:tcMar>
              <w:top w:w="100" w:type="dxa"/>
              <w:bottom w:w="100" w:type="dxa"/>
              <w:left w:w="120" w:type="dxa"/>
              <w:right w:w="120" w:type="dxa"/>
            </w:tcMar>
          </w:tcPr>
          <w:p>
            <w:pPr>
              <w:spacing w:after="40" w:line="240" w:lineRule="auto"/>
            </w:pPr>
            <w:r>
              <w:t>2271 — Desarrolladores y analistas de software y multimedia</w:t>
            </w:r>
          </w:p>
        </w:tc>
      </w:tr>
      <w:tr>
        <w:tc>
          <w:tcPr>
            <w:tcW w:type="dxa" w:w="4320"/>
            <w:tcMar>
              <w:top w:w="100" w:type="dxa"/>
              <w:bottom w:w="100" w:type="dxa"/>
              <w:left w:w="120" w:type="dxa"/>
              <w:right w:w="120" w:type="dxa"/>
            </w:tcMar>
          </w:tcPr>
          <w:p>
            <w:pPr>
              <w:spacing w:after="40" w:line="240" w:lineRule="auto"/>
            </w:pPr>
            <w:r>
              <w:rPr>
                <w:b/>
              </w:rPr>
            </w:r>
            <w:r>
              <w:t>Ocupaciones asociadas</w:t>
            </w:r>
          </w:p>
        </w:tc>
        <w:tc>
          <w:tcPr>
            <w:tcW w:type="dxa" w:w="4320"/>
            <w:tcMar>
              <w:top w:w="100" w:type="dxa"/>
              <w:bottom w:w="100" w:type="dxa"/>
              <w:left w:w="120" w:type="dxa"/>
              <w:right w:w="120" w:type="dxa"/>
            </w:tcMar>
          </w:tcPr>
          <w:p>
            <w:pPr>
              <w:spacing w:after="40" w:line="240" w:lineRule="auto"/>
            </w:pPr>
            <w:r>
              <w:t>Consultor de IA para MiPyMEs · Diseñador de soluciones de IA para negocios · Analista de sistemas · Asesor y consultor informático</w:t>
            </w:r>
          </w:p>
        </w:tc>
      </w:tr>
      <w:tr>
        <w:tc>
          <w:tcPr>
            <w:tcW w:type="dxa" w:w="4320"/>
            <w:tcMar>
              <w:top w:w="100" w:type="dxa"/>
              <w:bottom w:w="100" w:type="dxa"/>
              <w:left w:w="120" w:type="dxa"/>
              <w:right w:w="120" w:type="dxa"/>
            </w:tcMar>
          </w:tcPr>
          <w:p>
            <w:pPr>
              <w:spacing w:after="40" w:line="240" w:lineRule="auto"/>
            </w:pPr>
            <w:r>
              <w:rPr>
                <w:b/>
              </w:rPr>
            </w:r>
            <w:r>
              <w:t>Modalidades de evaluación</w:t>
            </w:r>
          </w:p>
        </w:tc>
        <w:tc>
          <w:tcPr>
            <w:tcW w:type="dxa" w:w="4320"/>
            <w:tcMar>
              <w:top w:w="100" w:type="dxa"/>
              <w:bottom w:w="100" w:type="dxa"/>
              <w:left w:w="120" w:type="dxa"/>
              <w:right w:w="120" w:type="dxa"/>
            </w:tcMar>
          </w:tcPr>
          <w:p>
            <w:pPr>
              <w:spacing w:after="40" w:line="240" w:lineRule="auto"/>
            </w:pPr>
            <w:r>
              <w:t>Presencial o remota mediante videoconferencia con audio y video</w:t>
            </w:r>
          </w:p>
        </w:tc>
      </w:tr>
      <w:tr>
        <w:tc>
          <w:tcPr>
            <w:tcW w:type="dxa" w:w="4320"/>
            <w:tcMar>
              <w:top w:w="100" w:type="dxa"/>
              <w:bottom w:w="100" w:type="dxa"/>
              <w:left w:w="120" w:type="dxa"/>
              <w:right w:w="120" w:type="dxa"/>
            </w:tcMar>
          </w:tcPr>
          <w:p>
            <w:pPr>
              <w:spacing w:after="40" w:line="240" w:lineRule="auto"/>
            </w:pPr>
            <w:r>
              <w:rPr>
                <w:b/>
              </w:rPr>
            </w:r>
            <w:r>
              <w:t>Requisito de título profesional</w:t>
            </w:r>
          </w:p>
        </w:tc>
        <w:tc>
          <w:tcPr>
            <w:tcW w:type="dxa" w:w="4320"/>
            <w:tcMar>
              <w:top w:w="100" w:type="dxa"/>
              <w:bottom w:w="100" w:type="dxa"/>
              <w:left w:w="120" w:type="dxa"/>
              <w:right w:w="120" w:type="dxa"/>
            </w:tcMar>
          </w:tcPr>
          <w:p>
            <w:pPr>
              <w:spacing w:after="40" w:line="240" w:lineRule="auto"/>
            </w:pPr>
            <w:r>
              <w:t>No requerido por disposición legal</w:t>
            </w:r>
          </w:p>
        </w:tc>
      </w:tr>
    </w:tbl>
    <w:p>
      <w:pPr>
        <w:spacing w:after="120"/>
      </w:pPr>
    </w:p>
    <w:p>
      <w:pPr>
        <w:pStyle w:val="Heading2"/>
        <w:spacing w:before="360" w:after="120"/>
      </w:pPr>
      <w:r>
        <w:rPr>
          <w:color w:val="529ED7"/>
        </w:rPr>
        <w:t>1.6 El mapa funcional del Estándar</w:t>
      </w:r>
    </w:p>
    <w:p>
      <w:pPr>
        <w:spacing w:after="120" w:line="276" w:lineRule="auto"/>
      </w:pPr>
      <w:r>
        <w:t>El mapa funcional del Estándar A se desagrega en tres elementos. Cada elemento es una función individual evaluable por sí misma; juntos integran el ciclo completo del proyecto de implementación que el aspirante debe demostrar.</w:t>
      </w:r>
    </w:p>
    <w:p>
      <w:pPr>
        <w:spacing w:after="120" w:line="276" w:lineRule="auto"/>
      </w:pPr>
      <w:r>
        <w:t>Cada elemento es evaluable por sí mismo, pero para certificarte debes demostrar los tres. El Elemento 1 es el más extenso (8 productos); el Elemento 3 el más corto (1 desempeño).</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Importante: </w:t>
            </w:r>
            <w:r>
              <w:t>Cada elemento se evalúa de manera integral (desempeños + productos + conocimientos + AHV). La persona competente en el Estándar A es quien demuestralos tres elementos. Si demuestras solo uno o dos, el dictamen seráTodavía no competente.</w:t>
            </w:r>
          </w:p>
        </w:tc>
      </w:tr>
    </w:tbl>
    <w:p>
      <w:pPr>
        <w:spacing w:after="120"/>
      </w:pPr>
    </w:p>
    <w:p>
      <w:pPr>
        <w:pStyle w:val="Heading2"/>
        <w:spacing w:before="360" w:after="120"/>
      </w:pPr>
      <w:r>
        <w:rPr>
          <w:color w:val="529ED7"/>
        </w:rPr>
        <w:t>1.7 Cómo está organizado este manual</w:t>
      </w:r>
    </w:p>
    <w:p>
      <w:pPr>
        <w:spacing w:after="120" w:line="276" w:lineRule="auto"/>
      </w:pPr>
      <w:r>
        <w:t>El resto del manual sigue el orden natural del proyecto. Tres páginas dedicadas, una por cada elemento, te presentarán: descripción narrativa, desempeños con criterios F21 explicados, productos con plantillas guía, conocimientos exigibles, AHV observables y el caso pedagógico hilado de la Panadería La Espiga.</w:t>
      </w:r>
    </w:p>
    <w:p>
      <w:pPr>
        <w:spacing w:after="120" w:line="276" w:lineRule="auto"/>
      </w:pPr>
      <w:r>
        <w:t xml:space="preserve">Tras esas tres páginas encontrarás: la página del </w:t>
      </w:r>
      <w:r>
        <w:rPr>
          <w:color w:val="529ED7"/>
          <w:u w:val="single"/>
        </w:rPr>
      </w:r>
      <w:r>
        <w:t>Instrumento de Evaluación</w:t>
      </w:r>
      <w:r>
        <w:t xml:space="preserve"> con la estructura del IEC y la Evidencia Histórica, la </w:t>
      </w:r>
      <w:r>
        <w:rPr>
          <w:color w:val="529ED7"/>
          <w:u w:val="single"/>
        </w:rPr>
      </w:r>
      <w:r>
        <w:t>Ruta de preparación</w:t>
      </w:r>
      <w:r>
        <w:t xml:space="preserve"> de 4 semanas con checklist final, y la página de </w:t>
      </w:r>
      <w:r>
        <w:rPr>
          <w:color w:val="529ED7"/>
          <w:u w:val="single"/>
        </w:rPr>
      </w:r>
      <w:r>
        <w:t>FAQ + glosario + referencias R1-R24 + contacto</w:t>
      </w:r>
      <w:r>
        <w:t>.</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Un caso pedagógico que recorrerá el manual · La Espiga: </w:t>
            </w:r>
            <w:r>
              <w:t>A lo largo de este manual usaremos una MiPyME ficticia como hilo narrativo. Te presentamos a laPanadería La Espiga: tres sucursales en una ciudad de tamaño medio, doce empleados, una dueña fundadora (Doña Beatriz) y un hijo recién egresado de administración (Carlos) que la está apoyando con la digitalización.</w:t>
            </w:r>
          </w:p>
        </w:tc>
      </w:tr>
    </w:tbl>
    <w:p>
      <w:pPr>
        <w:spacing w:after="120"/>
      </w:pPr>
    </w:p>
    <w:p>
      <w:pPr>
        <w:spacing w:after="120" w:line="276" w:lineRule="auto"/>
      </w:pPr>
      <w:r>
        <w:t xml:space="preserve">Venden pan tradicional y repostería, atienden mostrador y reciben pedidos por WhatsApp. No tienen sistema de inventarios; los pedidos del día se anotan en libretas; la contabilidad la lleva un despacho externo con archivos en papel. </w:t>
      </w:r>
      <w:r>
        <w:rPr>
          <w:b/>
        </w:rPr>
      </w:r>
      <w:r>
        <w:t>El caso es ficticio, pero los retos son representativos del tejido MiPyME mexicano.</w:t>
      </w:r>
    </w:p>
    <w:p>
      <w:pPr>
        <w:pStyle w:val="Heading3"/>
        <w:spacing w:before="240" w:after="80"/>
      </w:pPr>
      <w:r>
        <w:rPr>
          <w:color w:val="28467E"/>
        </w:rPr>
        <w:t>Cómo opera La Espiga hoy · antes de IA</w:t>
      </w:r>
    </w:p>
    <w:p>
      <w:pPr>
        <w:spacing w:after="120" w:line="276" w:lineRule="auto"/>
      </w:pPr>
      <w:r>
        <w:t>Ese es el punto de partida. Cada elemento del estándar te enseña una pieza del recorrido que lleva a La Espiga del "antes" al "después" — y a ti, de profesional sin acreditación a evaluador certificado.</w:t>
      </w:r>
    </w:p>
    <w:p>
      <w:r>
        <w:br w:type="page"/>
      </w:r>
    </w:p>
    <w:p>
      <w:pPr>
        <w:spacing w:before="480" w:after="40"/>
      </w:pPr>
      <w:r>
        <w:rPr>
          <w:b/>
          <w:color w:val="787878"/>
          <w:sz w:val="18"/>
        </w:rPr>
        <w:t>CAPÍTULO 2 · EL ELEMENTO MÁS EXTENSO</w:t>
      </w:r>
    </w:p>
    <w:p>
      <w:pPr>
        <w:pStyle w:val="Heading1"/>
        <w:spacing w:before="120" w:after="240"/>
      </w:pPr>
      <w:r>
        <w:rPr>
          <w:color w:val="28467E"/>
        </w:rPr>
        <w:t>Elemento 1 — Planear soluciones deIAalineadas a la MiPyME</w:t>
      </w:r>
    </w:p>
    <w:p>
      <w:pPr>
        <w:spacing w:after="360"/>
      </w:pPr>
      <w:r>
        <w:rPr>
          <w:i/>
          <w:color w:val="505050"/>
          <w:sz w:val="22"/>
        </w:rPr>
        <w:t>Este es el primer elemento del estándar y, en términos de tiempo y profundidad, el más extenso del proyecto. Planear bien define todo lo demás: un diagnóstico apresurado, una matriz superficial o una hoja de ruta poco realista comprometen los dos elementos siguientes.</w:t>
      </w:r>
    </w:p>
    <w:p>
      <w:pPr>
        <w:pStyle w:val="Heading2"/>
        <w:spacing w:before="360" w:after="120"/>
      </w:pPr>
      <w:r>
        <w:rPr>
          <w:color w:val="529ED7"/>
        </w:rPr>
        <w:t>2.1 Qué harás en este elemento</w:t>
      </w:r>
    </w:p>
    <w:p>
      <w:pPr>
        <w:spacing w:after="120" w:line="276" w:lineRule="auto"/>
      </w:pPr>
      <w:r>
        <w:t>Llegarás a una MiPyME que ha decidido explorar la incorporación de IA a sus procesos. Tu trabajo consistirá, sucesivamente, en:</w:t>
      </w:r>
    </w:p>
    <w:p>
      <w:pPr>
        <w:pStyle w:val="ListNumber"/>
        <w:spacing w:after="60" w:line="276" w:lineRule="auto"/>
      </w:pPr>
      <w:r>
        <w:rPr>
          <w:b/>
        </w:rPr>
      </w:r>
      <w:r>
        <w:t>Levantar información</w:t>
      </w:r>
      <w:r>
        <w:t xml:space="preserve"> sobre la empresa: quién es, qué hace, cómo trabaja, qué problemas operativos identifica y qué resultados espera.</w:t>
      </w:r>
    </w:p>
    <w:p>
      <w:pPr>
        <w:pStyle w:val="ListNumber"/>
        <w:spacing w:after="60" w:line="276" w:lineRule="auto"/>
      </w:pPr>
      <w:r>
        <w:rPr>
          <w:b/>
        </w:rPr>
      </w:r>
      <w:r>
        <w:t>Diagnosticar los procesos operativos</w:t>
      </w:r>
      <w:r>
        <w:t>, identificar cuellos de botella, tareas repetitivas y oportunidades donde la IA pueda aportar valor concreto.</w:t>
      </w:r>
    </w:p>
    <w:p>
      <w:pPr>
        <w:pStyle w:val="ListNumber"/>
        <w:spacing w:after="60" w:line="276" w:lineRule="auto"/>
      </w:pPr>
      <w:r>
        <w:rPr>
          <w:b/>
        </w:rPr>
      </w:r>
      <w:r>
        <w:t>Aplicar un test de madurez digital</w:t>
      </w:r>
      <w:r>
        <w:t xml:space="preserve"> y disposición al cambio.</w:t>
      </w:r>
    </w:p>
    <w:p>
      <w:pPr>
        <w:pStyle w:val="ListNumber"/>
        <w:spacing w:after="60" w:line="276" w:lineRule="auto"/>
      </w:pPr>
      <w:r>
        <w:rPr>
          <w:b/>
        </w:rPr>
      </w:r>
      <w:r>
        <w:t>Construir una matriz</w:t>
      </w:r>
      <w:r>
        <w:t xml:space="preserve"> que priorice las oportunidades según impacto, viabilidad y esfuerzo.</w:t>
      </w:r>
    </w:p>
    <w:p>
      <w:pPr>
        <w:pStyle w:val="ListNumber"/>
        <w:spacing w:after="60" w:line="276" w:lineRule="auto"/>
      </w:pPr>
      <w:r>
        <w:rPr>
          <w:b/>
        </w:rPr>
      </w:r>
      <w:r>
        <w:t>Elaborar la hoja de ruta</w:t>
      </w:r>
      <w:r>
        <w:t xml:space="preserve"> de implementación.</w:t>
      </w:r>
    </w:p>
    <w:p>
      <w:pPr>
        <w:pStyle w:val="ListNumber"/>
        <w:spacing w:after="60" w:line="276" w:lineRule="auto"/>
      </w:pPr>
      <w:r>
        <w:rPr>
          <w:b/>
        </w:rPr>
      </w:r>
      <w:r>
        <w:t>Integrar y validar la propuesta final</w:t>
      </w:r>
      <w:r>
        <w:t xml:space="preserve"> con el emprendedor, incluyendo la propuesta económica.</w:t>
      </w:r>
    </w:p>
    <w:p>
      <w:pPr>
        <w:pStyle w:val="Heading2"/>
        <w:spacing w:before="360" w:after="120"/>
      </w:pPr>
      <w:r>
        <w:rPr>
          <w:color w:val="529ED7"/>
        </w:rPr>
        <w:t>2.2 Cómo se te evaluará en este elemento</w:t>
      </w:r>
    </w:p>
    <w:tbl>
      <w:tblPr>
        <w:tblStyle w:val="TableGrid"/>
        <w:tblW w:type="auto" w:w="0"/>
        <w:tblLook w:firstColumn="1" w:firstRow="1" w:lastColumn="0" w:lastRow="0" w:noHBand="0" w:noVBand="1" w:val="04A0"/>
      </w:tblPr>
      <w:tblGrid>
        <w:gridCol w:w="2880"/>
        <w:gridCol w:w="2880"/>
        <w:gridCol w:w="2880"/>
      </w:tblGrid>
      <w:tr>
        <w:tc>
          <w:tcPr>
            <w:tcW w:type="dxa" w:w="2880"/>
            <w:shd w:fill="E5E7EB"/>
            <w:tcMar>
              <w:top w:w="100" w:type="dxa"/>
              <w:bottom w:w="100" w:type="dxa"/>
              <w:left w:w="120" w:type="dxa"/>
              <w:right w:w="120" w:type="dxa"/>
            </w:tcMar>
          </w:tcPr>
          <w:p>
            <w:pPr>
              <w:spacing w:after="40" w:line="240" w:lineRule="auto"/>
            </w:pPr>
            <w:r>
              <w:rPr>
                <w:b/>
              </w:rPr>
              <w:t>Tipo de evidencia</w:t>
            </w:r>
          </w:p>
        </w:tc>
        <w:tc>
          <w:tcPr>
            <w:tcW w:type="dxa" w:w="2880"/>
            <w:shd w:fill="E5E7EB"/>
            <w:tcMar>
              <w:top w:w="100" w:type="dxa"/>
              <w:bottom w:w="100" w:type="dxa"/>
              <w:left w:w="120" w:type="dxa"/>
              <w:right w:w="120" w:type="dxa"/>
            </w:tcMar>
          </w:tcPr>
          <w:p>
            <w:pPr>
              <w:spacing w:after="40" w:line="240" w:lineRule="auto"/>
            </w:pPr>
            <w:r>
              <w:rPr>
                <w:b/>
              </w:rPr>
              <w:t>Cuántos criterios</w:t>
            </w:r>
          </w:p>
        </w:tc>
        <w:tc>
          <w:tcPr>
            <w:tcW w:type="dxa" w:w="2880"/>
            <w:shd w:fill="E5E7EB"/>
            <w:tcMar>
              <w:top w:w="100" w:type="dxa"/>
              <w:bottom w:w="100" w:type="dxa"/>
              <w:left w:w="120" w:type="dxa"/>
              <w:right w:w="120" w:type="dxa"/>
            </w:tcMar>
          </w:tcPr>
          <w:p>
            <w:pPr>
              <w:spacing w:after="40" w:line="240" w:lineRule="auto"/>
            </w:pPr>
            <w:r>
              <w:rPr>
                <w:b/>
              </w:rPr>
              <w:t>Cómo se valora</w:t>
            </w:r>
          </w:p>
        </w:tc>
      </w:tr>
      <w:tr>
        <w:tc>
          <w:tcPr>
            <w:tcW w:type="dxa" w:w="2880"/>
            <w:tcMar>
              <w:top w:w="100" w:type="dxa"/>
              <w:bottom w:w="100" w:type="dxa"/>
              <w:left w:w="120" w:type="dxa"/>
              <w:right w:w="120" w:type="dxa"/>
            </w:tcMar>
          </w:tcPr>
          <w:p>
            <w:pPr>
              <w:spacing w:after="40" w:line="240" w:lineRule="auto"/>
            </w:pPr>
            <w:r>
              <w:rPr>
                <w:b/>
              </w:rPr>
            </w:r>
            <w:r>
              <w:t>Desempeños observables</w:t>
            </w:r>
          </w:p>
        </w:tc>
        <w:tc>
          <w:tcPr>
            <w:tcW w:type="dxa" w:w="2880"/>
            <w:tcMar>
              <w:top w:w="100" w:type="dxa"/>
              <w:bottom w:w="100" w:type="dxa"/>
              <w:left w:w="120" w:type="dxa"/>
              <w:right w:w="120" w:type="dxa"/>
            </w:tcMar>
          </w:tcPr>
          <w:p>
            <w:pPr>
              <w:spacing w:after="40" w:line="240" w:lineRule="auto"/>
            </w:pPr>
            <w:r>
              <w:t>2 desempeños</w:t>
            </w:r>
          </w:p>
        </w:tc>
        <w:tc>
          <w:tcPr>
            <w:tcW w:type="dxa" w:w="2880"/>
            <w:tcMar>
              <w:top w:w="100" w:type="dxa"/>
              <w:bottom w:w="100" w:type="dxa"/>
              <w:left w:w="120" w:type="dxa"/>
              <w:right w:w="120" w:type="dxa"/>
            </w:tcMar>
          </w:tcPr>
          <w:p>
            <w:pPr>
              <w:spacing w:after="40" w:line="240" w:lineRule="auto"/>
            </w:pPr>
            <w:r>
              <w:t>El evaluador observa cómo realizas la recopilación de información y la presentación de la propuesta final.</w:t>
            </w:r>
          </w:p>
        </w:tc>
      </w:tr>
      <w:tr>
        <w:tc>
          <w:tcPr>
            <w:tcW w:type="dxa" w:w="2880"/>
            <w:tcMar>
              <w:top w:w="100" w:type="dxa"/>
              <w:bottom w:w="100" w:type="dxa"/>
              <w:left w:w="120" w:type="dxa"/>
              <w:right w:w="120" w:type="dxa"/>
            </w:tcMar>
          </w:tcPr>
          <w:p>
            <w:pPr>
              <w:spacing w:after="40" w:line="240" w:lineRule="auto"/>
            </w:pPr>
            <w:r>
              <w:rPr>
                <w:b/>
              </w:rPr>
            </w:r>
            <w:r>
              <w:t>Productos entregables</w:t>
            </w:r>
          </w:p>
        </w:tc>
        <w:tc>
          <w:tcPr>
            <w:tcW w:type="dxa" w:w="2880"/>
            <w:tcMar>
              <w:top w:w="100" w:type="dxa"/>
              <w:bottom w:w="100" w:type="dxa"/>
              <w:left w:w="120" w:type="dxa"/>
              <w:right w:w="120" w:type="dxa"/>
            </w:tcMar>
          </w:tcPr>
          <w:p>
            <w:pPr>
              <w:spacing w:after="40" w:line="240" w:lineRule="auto"/>
            </w:pPr>
            <w:r>
              <w:t>8 productos</w:t>
            </w:r>
          </w:p>
        </w:tc>
        <w:tc>
          <w:tcPr>
            <w:tcW w:type="dxa" w:w="2880"/>
            <w:tcMar>
              <w:top w:w="100" w:type="dxa"/>
              <w:bottom w:w="100" w:type="dxa"/>
              <w:left w:w="120" w:type="dxa"/>
              <w:right w:w="120" w:type="dxa"/>
            </w:tcMar>
          </w:tcPr>
          <w:p>
            <w:pPr>
              <w:spacing w:after="40" w:line="240" w:lineRule="auto"/>
            </w:pPr>
            <w:r>
              <w:t xml:space="preserve">El evaluador revisa los productos previamente elaborados contra los criterios del F21. </w:t>
            </w:r>
            <w:r>
              <w:rPr>
                <w:b/>
              </w:rPr>
            </w:r>
            <w:r>
              <w:t>Mayor peso documental del elemento.</w:t>
            </w:r>
          </w:p>
        </w:tc>
      </w:tr>
      <w:tr>
        <w:tc>
          <w:tcPr>
            <w:tcW w:type="dxa" w:w="2880"/>
            <w:tcMar>
              <w:top w:w="100" w:type="dxa"/>
              <w:bottom w:w="100" w:type="dxa"/>
              <w:left w:w="120" w:type="dxa"/>
              <w:right w:w="120" w:type="dxa"/>
            </w:tcMar>
          </w:tcPr>
          <w:p>
            <w:pPr>
              <w:spacing w:after="40" w:line="240" w:lineRule="auto"/>
            </w:pPr>
            <w:r>
              <w:rPr>
                <w:b/>
              </w:rPr>
            </w:r>
            <w:r>
              <w:t>Conocimientos</w:t>
            </w:r>
          </w:p>
        </w:tc>
        <w:tc>
          <w:tcPr>
            <w:tcW w:type="dxa" w:w="2880"/>
            <w:tcMar>
              <w:top w:w="100" w:type="dxa"/>
              <w:bottom w:w="100" w:type="dxa"/>
              <w:left w:w="120" w:type="dxa"/>
              <w:right w:w="120" w:type="dxa"/>
            </w:tcMar>
          </w:tcPr>
          <w:p>
            <w:pPr>
              <w:spacing w:after="40" w:line="240" w:lineRule="auto"/>
            </w:pPr>
            <w:r>
              <w:t>7 áreas (Comprensión y Aplicación)</w:t>
            </w:r>
          </w:p>
        </w:tc>
        <w:tc>
          <w:tcPr>
            <w:tcW w:type="dxa" w:w="2880"/>
            <w:tcMar>
              <w:top w:w="100" w:type="dxa"/>
              <w:bottom w:w="100" w:type="dxa"/>
              <w:left w:w="120" w:type="dxa"/>
              <w:right w:w="120" w:type="dxa"/>
            </w:tcMar>
          </w:tcPr>
          <w:p>
            <w:pPr>
              <w:spacing w:after="40" w:line="240" w:lineRule="auto"/>
            </w:pPr>
            <w:r>
              <w:t>Cuestionario que mide el dominio aplicado de los conocimientos.</w:t>
            </w:r>
          </w:p>
        </w:tc>
      </w:tr>
      <w:tr>
        <w:tc>
          <w:tcPr>
            <w:tcW w:type="dxa" w:w="2880"/>
            <w:tcMar>
              <w:top w:w="100" w:type="dxa"/>
              <w:bottom w:w="100" w:type="dxa"/>
              <w:left w:w="120" w:type="dxa"/>
              <w:right w:w="120" w:type="dxa"/>
            </w:tcMar>
          </w:tcPr>
          <w:p>
            <w:pPr>
              <w:spacing w:after="40" w:line="240" w:lineRule="auto"/>
            </w:pPr>
            <w:r>
              <w:rPr>
                <w:b/>
              </w:rPr>
            </w:r>
            <w:r>
              <w:t>Actitudes, hábitos y valores</w:t>
            </w:r>
          </w:p>
        </w:tc>
        <w:tc>
          <w:tcPr>
            <w:tcW w:type="dxa" w:w="2880"/>
            <w:tcMar>
              <w:top w:w="100" w:type="dxa"/>
              <w:bottom w:w="100" w:type="dxa"/>
              <w:left w:w="120" w:type="dxa"/>
              <w:right w:w="120" w:type="dxa"/>
            </w:tcMar>
          </w:tcPr>
          <w:p>
            <w:pPr>
              <w:spacing w:after="40" w:line="240" w:lineRule="auto"/>
            </w:pPr>
            <w:r>
              <w:t>2 (Iniciativa y Orden)</w:t>
            </w:r>
          </w:p>
        </w:tc>
        <w:tc>
          <w:tcPr>
            <w:tcW w:type="dxa" w:w="2880"/>
            <w:tcMar>
              <w:top w:w="100" w:type="dxa"/>
              <w:bottom w:w="100" w:type="dxa"/>
              <w:left w:w="120" w:type="dxa"/>
              <w:right w:w="120" w:type="dxa"/>
            </w:tcMar>
          </w:tcPr>
          <w:p>
            <w:pPr>
              <w:spacing w:after="40" w:line="240" w:lineRule="auto"/>
            </w:pPr>
            <w:r>
              <w:t>Se observan durante la ejecución de los desempeños.</w:t>
            </w:r>
          </w:p>
        </w:tc>
      </w:tr>
    </w:tbl>
    <w:p>
      <w:pPr>
        <w:spacing w:after="120"/>
      </w:pP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Para tener presente: </w:t>
            </w:r>
            <w:r>
              <w:t>En este elemento, losproductos son la fuente de evidencia con mayor volumen. Si llegas al día de la evaluación sin los productos completos y listos para revisión, la sesión no podrá completarse adecuadamente. Prepara primero los productos —con base en el proyecto real que ejecutaste con tu MiPyME— y solo después practica los desempeños y consolida los conocimientos.</w:t>
            </w:r>
          </w:p>
        </w:tc>
      </w:tr>
    </w:tbl>
    <w:p>
      <w:pPr>
        <w:spacing w:after="120"/>
      </w:pPr>
    </w:p>
    <w:p>
      <w:pPr>
        <w:pStyle w:val="Heading2"/>
        <w:spacing w:before="360" w:after="120"/>
      </w:pPr>
      <w:r>
        <w:rPr>
          <w:color w:val="529ED7"/>
        </w:rPr>
        <w:t>2.3 Los desempeños del Elemento 1</w:t>
      </w:r>
    </w:p>
    <w:p>
      <w:pPr>
        <w:pStyle w:val="Heading3"/>
        <w:spacing w:before="240" w:after="80"/>
      </w:pPr>
      <w:r>
        <w:rPr>
          <w:color w:val="28467E"/>
        </w:rPr>
        <w:t>Desempeño 1.1 · Recopila información sobre los procesos operativos</w:t>
      </w:r>
    </w:p>
    <w:p>
      <w:pPr>
        <w:spacing w:after="120" w:line="276" w:lineRule="auto"/>
      </w:pPr>
      <w:r>
        <w:t xml:space="preserve">El primer desempeño que tu evaluador presenciará: la forma en que levantas información en la MiPyME. La situación puede ser una entrevista con el emprendedor, un recorrido por las áreas operativas, una sesión de trabajo con el personal o una combinación. El estándar valora </w:t>
      </w:r>
      <w:r>
        <w:rPr>
          <w:b/>
        </w:rPr>
      </w:r>
      <w:r>
        <w:t>cuatro características</w:t>
      </w:r>
      <w:r>
        <w:t>:</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La Espiga · Cómo se vería este desempeño en la panadería: </w:t>
            </w:r>
            <w:r>
              <w:t>Carlos —el hijo de Doña Beatriz— te acompaña en el recorrido por las tres sucursales. En cada local conversas veinte minutos con la persona encargada de mostrador. Tomas notas sobre cómo se reciben los pedidos por WhatsApp (cada encargada lo gestiona de manera distinta, algunas en hojas sueltas, otras en libretas), cómo se transmite el pedido a la cocina (verbalmente, en la mañana del día siguiente), y dónde se acumulan los retrasos (las consultas repetidas por WhatsApp tipo "¿están abiertos hoy?" o "¿tienen rosca?" consumen el tiempo de las encargadas en las horas pico).</w:t>
            </w:r>
          </w:p>
          <w:p>
            <w:pPr>
              <w:spacing w:before="40" w:after="80"/>
            </w:pPr>
            <w:r>
              <w:t>Al final del recorrido elaboras un mapa de involucrados que conecta a Doña Beatriz, Carlos, las tres encargadas, los dos panaderos, el repartidor externo y el despacho contable. Y consignas en tu libretacinco oportunidades concretas: respuesta automatizada de consultas frecuentes en WhatsApp Business; registro estandarizado de pedidos por canal único; resumen diario de pedidos a cocina generado automáticamente; conciliación contable simplificada vía digitalización; tablero compartido de inventario básico entre sucursales.</w:t>
            </w:r>
          </w:p>
          <w:p>
            <w:pPr>
              <w:spacing w:before="40" w:after="80"/>
            </w:pPr>
            <w:r>
              <w:t>Mapa de involucrados ejemplo · 8 personas en el universo del proceso analizado</w:t>
            </w:r>
          </w:p>
        </w:tc>
      </w:tr>
    </w:tbl>
    <w:p>
      <w:pPr>
        <w:spacing w:after="120"/>
      </w:pPr>
    </w:p>
    <w:p>
      <w:pPr>
        <w:pStyle w:val="Heading3"/>
        <w:spacing w:before="240" w:after="80"/>
      </w:pPr>
      <w:r>
        <w:rPr>
          <w:color w:val="28467E"/>
        </w:rPr>
        <w:t>Desempeño 1.2 · Presenta la propuesta final de implementación</w:t>
      </w:r>
    </w:p>
    <w:p>
      <w:pPr>
        <w:spacing w:after="120" w:line="276" w:lineRule="auto"/>
      </w:pPr>
      <w:r>
        <w:t xml:space="preserve">Tras el levantamiento, el diagnóstico, la matriz y la hoja de ruta, llega el momento de presentar la propuesta integrada al emprendedor. </w:t>
      </w:r>
      <w:r>
        <w:rPr>
          <w:b/>
        </w:rPr>
      </w:r>
      <w:r>
        <w:t>Cinco características</w:t>
      </w:r>
      <w:r>
        <w:t xml:space="preserve"> valoran este desempeño:</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La Espiga · Cómo se vería la presentación a Doña Beatriz: </w:t>
            </w:r>
            <w:r>
              <w:t>Te reúnes con Doña Beatriz y Carlos en la oficina trasera de la sucursal principal. Le has enviado la propuesta dos días antes. En la sesión expones las cinco oportunidades en un mapa de impacto/esfuerzo donde destacas las dos que recomiendas implementar en primera fase: el sistema unificado de pedidos por WhatsApp con respuestas automáticas, y el resumen automatizado de pedidos diarios a cocina. Para cada una presentas la herramienta propuesta. Muestras el cronograma de cinco semanas. Presentas el costo total separado en honorarios profesionales y licencias mensuales. Doña Beatriz pregunta qué pasa si el asistente da una respuesta incorrecta; le explicas cómo se entrenará con ejemplos reales de la panadería y cómo se establecerá un protocolo para escalar las consultas que el asistente no resuelva.</w:t>
            </w:r>
          </w:p>
        </w:tc>
      </w:tr>
    </w:tbl>
    <w:p>
      <w:pPr>
        <w:spacing w:after="120"/>
      </w:pPr>
    </w:p>
    <w:p>
      <w:pPr>
        <w:pStyle w:val="Heading2"/>
        <w:spacing w:before="360" w:after="120"/>
      </w:pPr>
      <w:r>
        <w:rPr>
          <w:color w:val="529ED7"/>
        </w:rPr>
        <w:t>2.4 Los 8 productos del Elemento 1</w:t>
      </w:r>
    </w:p>
    <w:p>
      <w:pPr>
        <w:spacing w:after="120" w:line="276" w:lineRule="auto"/>
      </w:pPr>
      <w:r>
        <w:t xml:space="preserve">El Elemento 1 exige </w:t>
      </w:r>
      <w:r>
        <w:rPr>
          <w:b/>
        </w:rPr>
      </w:r>
      <w:r>
        <w:t>ocho productos documentales</w:t>
      </w:r>
      <w:r>
        <w:t>. Son el grueso de la evidencia documental del elemento; prepáralos con cuidado.</w:t>
      </w:r>
    </w:p>
    <w:p>
      <w:pPr>
        <w:pStyle w:val="Heading3"/>
        <w:spacing w:before="240" w:after="80"/>
      </w:pPr>
      <w:r>
        <w:rPr>
          <w:color w:val="28467E"/>
        </w:rPr>
        <w:t>Antes de descargar: ¿reconoces los 8?</w:t>
      </w:r>
    </w:p>
    <w:p>
      <w:pPr>
        <w:spacing w:after="120" w:line="276" w:lineRule="auto"/>
      </w:pPr>
      <w:r>
        <w:t>Repasa rápido los nombres y el propósito de cada producto. Cuando los tengas claros, baja a las descargas.</w:t>
      </w:r>
    </w:p>
    <w:p>
      <w:pPr>
        <w:spacing w:after="120" w:line="276" w:lineRule="auto"/>
      </w:pPr>
      <w:r>
        <w:t>El reporte inicial es el insumo de todo lo demás. La matriz (1.4.5) es el corazón estratégico: lo que pase ahí define la hoja de ruta. La propuesta económica (1.4.8) requiere firma escrita para cerrar el elemento.</w:t>
      </w:r>
    </w:p>
    <w:tbl>
      <w:tblPr>
        <w:tblStyle w:val="TableGrid"/>
        <w:tblW w:type="auto" w:w="0"/>
        <w:tblLook w:firstColumn="1" w:firstRow="1" w:lastColumn="0" w:lastRow="0" w:noHBand="0" w:noVBand="1" w:val="04A0"/>
      </w:tblPr>
      <w:tblGrid>
        <w:gridCol w:w="2880"/>
        <w:gridCol w:w="2880"/>
        <w:gridCol w:w="2880"/>
      </w:tblGrid>
      <w:tr>
        <w:tc>
          <w:tcPr>
            <w:tcW w:type="dxa" w:w="2880"/>
            <w:shd w:fill="E5E7EB"/>
            <w:tcMar>
              <w:top w:w="100" w:type="dxa"/>
              <w:bottom w:w="100" w:type="dxa"/>
              <w:left w:w="120" w:type="dxa"/>
              <w:right w:w="120" w:type="dxa"/>
            </w:tcMar>
          </w:tcPr>
          <w:p>
            <w:pPr>
              <w:spacing w:after="40" w:line="240" w:lineRule="auto"/>
            </w:pPr>
            <w:r>
              <w:rPr>
                <w:b/>
              </w:rPr>
              <w:t>#</w:t>
            </w:r>
          </w:p>
        </w:tc>
        <w:tc>
          <w:tcPr>
            <w:tcW w:type="dxa" w:w="2880"/>
            <w:shd w:fill="E5E7EB"/>
            <w:tcMar>
              <w:top w:w="100" w:type="dxa"/>
              <w:bottom w:w="100" w:type="dxa"/>
              <w:left w:w="120" w:type="dxa"/>
              <w:right w:w="120" w:type="dxa"/>
            </w:tcMar>
          </w:tcPr>
          <w:p>
            <w:pPr>
              <w:spacing w:after="40" w:line="240" w:lineRule="auto"/>
            </w:pPr>
            <w:r>
              <w:rPr>
                <w:b/>
              </w:rPr>
              <w:t>Producto</w:t>
            </w:r>
          </w:p>
        </w:tc>
        <w:tc>
          <w:tcPr>
            <w:tcW w:type="dxa" w:w="2880"/>
            <w:shd w:fill="E5E7EB"/>
            <w:tcMar>
              <w:top w:w="100" w:type="dxa"/>
              <w:bottom w:w="100" w:type="dxa"/>
              <w:left w:w="120" w:type="dxa"/>
              <w:right w:w="120" w:type="dxa"/>
            </w:tcMar>
          </w:tcPr>
          <w:p>
            <w:pPr>
              <w:spacing w:after="40" w:line="240" w:lineRule="auto"/>
            </w:pPr>
            <w:r>
              <w:rPr>
                <w:b/>
              </w:rPr>
              <w:t>Núm. características</w:t>
            </w:r>
          </w:p>
        </w:tc>
      </w:tr>
      <w:tr>
        <w:tc>
          <w:tcPr>
            <w:tcW w:type="dxa" w:w="2880"/>
            <w:tcMar>
              <w:top w:w="100" w:type="dxa"/>
              <w:bottom w:w="100" w:type="dxa"/>
              <w:left w:w="120" w:type="dxa"/>
              <w:right w:w="120" w:type="dxa"/>
            </w:tcMar>
          </w:tcPr>
          <w:p>
            <w:pPr>
              <w:spacing w:after="40" w:line="240" w:lineRule="auto"/>
            </w:pPr>
            <w:r>
              <w:t>1.4.1</w:t>
            </w:r>
          </w:p>
        </w:tc>
        <w:tc>
          <w:tcPr>
            <w:tcW w:type="dxa" w:w="2880"/>
            <w:tcMar>
              <w:top w:w="100" w:type="dxa"/>
              <w:bottom w:w="100" w:type="dxa"/>
              <w:left w:w="120" w:type="dxa"/>
              <w:right w:w="120" w:type="dxa"/>
            </w:tcMar>
          </w:tcPr>
          <w:p>
            <w:pPr>
              <w:spacing w:after="40" w:line="240" w:lineRule="auto"/>
            </w:pPr>
            <w:r>
              <w:t>Reporte de evaluación inicial de la MiPyME</w:t>
            </w:r>
          </w:p>
        </w:tc>
        <w:tc>
          <w:tcPr>
            <w:tcW w:type="dxa" w:w="2880"/>
            <w:tcMar>
              <w:top w:w="100" w:type="dxa"/>
              <w:bottom w:w="100" w:type="dxa"/>
              <w:left w:w="120" w:type="dxa"/>
              <w:right w:w="120" w:type="dxa"/>
            </w:tcMar>
          </w:tcPr>
          <w:p>
            <w:pPr>
              <w:spacing w:after="40" w:line="240" w:lineRule="auto"/>
            </w:pPr>
            <w:r>
              <w:t>7</w:t>
            </w:r>
          </w:p>
        </w:tc>
      </w:tr>
      <w:tr>
        <w:tc>
          <w:tcPr>
            <w:tcW w:type="dxa" w:w="2880"/>
            <w:tcMar>
              <w:top w:w="100" w:type="dxa"/>
              <w:bottom w:w="100" w:type="dxa"/>
              <w:left w:w="120" w:type="dxa"/>
              <w:right w:w="120" w:type="dxa"/>
            </w:tcMar>
          </w:tcPr>
          <w:p>
            <w:pPr>
              <w:spacing w:after="40" w:line="240" w:lineRule="auto"/>
            </w:pPr>
            <w:r>
              <w:t>1.4.2</w:t>
            </w:r>
          </w:p>
        </w:tc>
        <w:tc>
          <w:tcPr>
            <w:tcW w:type="dxa" w:w="2880"/>
            <w:tcMar>
              <w:top w:w="100" w:type="dxa"/>
              <w:bottom w:w="100" w:type="dxa"/>
              <w:left w:w="120" w:type="dxa"/>
              <w:right w:w="120" w:type="dxa"/>
            </w:tcMar>
          </w:tcPr>
          <w:p>
            <w:pPr>
              <w:spacing w:after="40" w:line="240" w:lineRule="auto"/>
            </w:pPr>
            <w:r>
              <w:t>Informe de disponibilidad y calidad de los datos</w:t>
            </w:r>
          </w:p>
        </w:tc>
        <w:tc>
          <w:tcPr>
            <w:tcW w:type="dxa" w:w="2880"/>
            <w:tcMar>
              <w:top w:w="100" w:type="dxa"/>
              <w:bottom w:w="100" w:type="dxa"/>
              <w:left w:w="120" w:type="dxa"/>
              <w:right w:w="120" w:type="dxa"/>
            </w:tcMar>
          </w:tcPr>
          <w:p>
            <w:pPr>
              <w:spacing w:after="40" w:line="240" w:lineRule="auto"/>
            </w:pPr>
            <w:r>
              <w:t>4</w:t>
            </w:r>
          </w:p>
        </w:tc>
      </w:tr>
      <w:tr>
        <w:tc>
          <w:tcPr>
            <w:tcW w:type="dxa" w:w="2880"/>
            <w:tcMar>
              <w:top w:w="100" w:type="dxa"/>
              <w:bottom w:w="100" w:type="dxa"/>
              <w:left w:w="120" w:type="dxa"/>
              <w:right w:w="120" w:type="dxa"/>
            </w:tcMar>
          </w:tcPr>
          <w:p>
            <w:pPr>
              <w:spacing w:after="40" w:line="240" w:lineRule="auto"/>
            </w:pPr>
            <w:r>
              <w:t>1.4.3</w:t>
            </w:r>
          </w:p>
        </w:tc>
        <w:tc>
          <w:tcPr>
            <w:tcW w:type="dxa" w:w="2880"/>
            <w:tcMar>
              <w:top w:w="100" w:type="dxa"/>
              <w:bottom w:w="100" w:type="dxa"/>
              <w:left w:w="120" w:type="dxa"/>
              <w:right w:w="120" w:type="dxa"/>
            </w:tcMar>
          </w:tcPr>
          <w:p>
            <w:pPr>
              <w:spacing w:after="40" w:line="240" w:lineRule="auto"/>
            </w:pPr>
            <w:r>
              <w:t>Informe de diagnóstico de procesos, actividades y áreas</w:t>
            </w:r>
          </w:p>
        </w:tc>
        <w:tc>
          <w:tcPr>
            <w:tcW w:type="dxa" w:w="2880"/>
            <w:tcMar>
              <w:top w:w="100" w:type="dxa"/>
              <w:bottom w:w="100" w:type="dxa"/>
              <w:left w:w="120" w:type="dxa"/>
              <w:right w:w="120" w:type="dxa"/>
            </w:tcMar>
          </w:tcPr>
          <w:p>
            <w:pPr>
              <w:spacing w:after="40" w:line="240" w:lineRule="auto"/>
            </w:pPr>
            <w:r>
              <w:t>4</w:t>
            </w:r>
          </w:p>
        </w:tc>
      </w:tr>
      <w:tr>
        <w:tc>
          <w:tcPr>
            <w:tcW w:type="dxa" w:w="2880"/>
            <w:tcMar>
              <w:top w:w="100" w:type="dxa"/>
              <w:bottom w:w="100" w:type="dxa"/>
              <w:left w:w="120" w:type="dxa"/>
              <w:right w:w="120" w:type="dxa"/>
            </w:tcMar>
          </w:tcPr>
          <w:p>
            <w:pPr>
              <w:spacing w:after="40" w:line="240" w:lineRule="auto"/>
            </w:pPr>
            <w:r>
              <w:t>1.4.4</w:t>
            </w:r>
          </w:p>
        </w:tc>
        <w:tc>
          <w:tcPr>
            <w:tcW w:type="dxa" w:w="2880"/>
            <w:tcMar>
              <w:top w:w="100" w:type="dxa"/>
              <w:bottom w:w="100" w:type="dxa"/>
              <w:left w:w="120" w:type="dxa"/>
              <w:right w:w="120" w:type="dxa"/>
            </w:tcMar>
          </w:tcPr>
          <w:p>
            <w:pPr>
              <w:spacing w:after="40" w:line="240" w:lineRule="auto"/>
            </w:pPr>
            <w:r>
              <w:t>Reporte de madurez digital y disposición al cambio</w:t>
            </w:r>
          </w:p>
        </w:tc>
        <w:tc>
          <w:tcPr>
            <w:tcW w:type="dxa" w:w="2880"/>
            <w:tcMar>
              <w:top w:w="100" w:type="dxa"/>
              <w:bottom w:w="100" w:type="dxa"/>
              <w:left w:w="120" w:type="dxa"/>
              <w:right w:w="120" w:type="dxa"/>
            </w:tcMar>
          </w:tcPr>
          <w:p>
            <w:pPr>
              <w:spacing w:after="40" w:line="240" w:lineRule="auto"/>
            </w:pPr>
            <w:r>
              <w:t>6</w:t>
            </w:r>
          </w:p>
        </w:tc>
      </w:tr>
      <w:tr>
        <w:tc>
          <w:tcPr>
            <w:tcW w:type="dxa" w:w="2880"/>
            <w:tcMar>
              <w:top w:w="100" w:type="dxa"/>
              <w:bottom w:w="100" w:type="dxa"/>
              <w:left w:w="120" w:type="dxa"/>
              <w:right w:w="120" w:type="dxa"/>
            </w:tcMar>
          </w:tcPr>
          <w:p>
            <w:pPr>
              <w:spacing w:after="40" w:line="240" w:lineRule="auto"/>
            </w:pPr>
            <w:r>
              <w:t>1.4.5</w:t>
            </w:r>
          </w:p>
        </w:tc>
        <w:tc>
          <w:tcPr>
            <w:tcW w:type="dxa" w:w="2880"/>
            <w:tcMar>
              <w:top w:w="100" w:type="dxa"/>
              <w:bottom w:w="100" w:type="dxa"/>
              <w:left w:w="120" w:type="dxa"/>
              <w:right w:w="120" w:type="dxa"/>
            </w:tcMar>
          </w:tcPr>
          <w:p>
            <w:pPr>
              <w:spacing w:after="40" w:line="240" w:lineRule="auto"/>
            </w:pPr>
            <w:r>
              <w:t>Matriz de impacto, viabilidad y esfuerzo</w:t>
            </w:r>
          </w:p>
        </w:tc>
        <w:tc>
          <w:tcPr>
            <w:tcW w:type="dxa" w:w="2880"/>
            <w:tcMar>
              <w:top w:w="100" w:type="dxa"/>
              <w:bottom w:w="100" w:type="dxa"/>
              <w:left w:w="120" w:type="dxa"/>
              <w:right w:w="120" w:type="dxa"/>
            </w:tcMar>
          </w:tcPr>
          <w:p>
            <w:pPr>
              <w:spacing w:after="40" w:line="240" w:lineRule="auto"/>
            </w:pPr>
            <w:r>
              <w:t>4</w:t>
            </w:r>
          </w:p>
        </w:tc>
      </w:tr>
      <w:tr>
        <w:tc>
          <w:tcPr>
            <w:tcW w:type="dxa" w:w="2880"/>
            <w:tcMar>
              <w:top w:w="100" w:type="dxa"/>
              <w:bottom w:w="100" w:type="dxa"/>
              <w:left w:w="120" w:type="dxa"/>
              <w:right w:w="120" w:type="dxa"/>
            </w:tcMar>
          </w:tcPr>
          <w:p>
            <w:pPr>
              <w:spacing w:after="40" w:line="240" w:lineRule="auto"/>
            </w:pPr>
            <w:r>
              <w:t>1.4.6</w:t>
            </w:r>
          </w:p>
        </w:tc>
        <w:tc>
          <w:tcPr>
            <w:tcW w:type="dxa" w:w="2880"/>
            <w:tcMar>
              <w:top w:w="100" w:type="dxa"/>
              <w:bottom w:w="100" w:type="dxa"/>
              <w:left w:w="120" w:type="dxa"/>
              <w:right w:w="120" w:type="dxa"/>
            </w:tcMar>
          </w:tcPr>
          <w:p>
            <w:pPr>
              <w:spacing w:after="40" w:line="240" w:lineRule="auto"/>
            </w:pPr>
            <w:r>
              <w:t>Hoja de ruta de implementación de soluciones de IA</w:t>
            </w:r>
          </w:p>
        </w:tc>
        <w:tc>
          <w:tcPr>
            <w:tcW w:type="dxa" w:w="2880"/>
            <w:tcMar>
              <w:top w:w="100" w:type="dxa"/>
              <w:bottom w:w="100" w:type="dxa"/>
              <w:left w:w="120" w:type="dxa"/>
              <w:right w:w="120" w:type="dxa"/>
            </w:tcMar>
          </w:tcPr>
          <w:p>
            <w:pPr>
              <w:spacing w:after="40" w:line="240" w:lineRule="auto"/>
            </w:pPr>
            <w:r>
              <w:t>7</w:t>
            </w:r>
          </w:p>
        </w:tc>
      </w:tr>
      <w:tr>
        <w:tc>
          <w:tcPr>
            <w:tcW w:type="dxa" w:w="2880"/>
            <w:tcMar>
              <w:top w:w="100" w:type="dxa"/>
              <w:bottom w:w="100" w:type="dxa"/>
              <w:left w:w="120" w:type="dxa"/>
              <w:right w:w="120" w:type="dxa"/>
            </w:tcMar>
          </w:tcPr>
          <w:p>
            <w:pPr>
              <w:spacing w:after="40" w:line="240" w:lineRule="auto"/>
            </w:pPr>
            <w:r>
              <w:t>1.4.7</w:t>
            </w:r>
          </w:p>
        </w:tc>
        <w:tc>
          <w:tcPr>
            <w:tcW w:type="dxa" w:w="2880"/>
            <w:tcMar>
              <w:top w:w="100" w:type="dxa"/>
              <w:bottom w:w="100" w:type="dxa"/>
              <w:left w:w="120" w:type="dxa"/>
              <w:right w:w="120" w:type="dxa"/>
            </w:tcMar>
          </w:tcPr>
          <w:p>
            <w:pPr>
              <w:spacing w:after="40" w:line="240" w:lineRule="auto"/>
            </w:pPr>
            <w:r>
              <w:t>Propuesta final de implementación integrada</w:t>
            </w:r>
          </w:p>
        </w:tc>
        <w:tc>
          <w:tcPr>
            <w:tcW w:type="dxa" w:w="2880"/>
            <w:tcMar>
              <w:top w:w="100" w:type="dxa"/>
              <w:bottom w:w="100" w:type="dxa"/>
              <w:left w:w="120" w:type="dxa"/>
              <w:right w:w="120" w:type="dxa"/>
            </w:tcMar>
          </w:tcPr>
          <w:p>
            <w:pPr>
              <w:spacing w:after="40" w:line="240" w:lineRule="auto"/>
            </w:pPr>
            <w:r>
              <w:t>6</w:t>
            </w:r>
          </w:p>
        </w:tc>
      </w:tr>
      <w:tr>
        <w:tc>
          <w:tcPr>
            <w:tcW w:type="dxa" w:w="2880"/>
            <w:tcMar>
              <w:top w:w="100" w:type="dxa"/>
              <w:bottom w:w="100" w:type="dxa"/>
              <w:left w:w="120" w:type="dxa"/>
              <w:right w:w="120" w:type="dxa"/>
            </w:tcMar>
          </w:tcPr>
          <w:p>
            <w:pPr>
              <w:spacing w:after="40" w:line="240" w:lineRule="auto"/>
            </w:pPr>
            <w:r>
              <w:t>1.4.8</w:t>
            </w:r>
          </w:p>
        </w:tc>
        <w:tc>
          <w:tcPr>
            <w:tcW w:type="dxa" w:w="2880"/>
            <w:tcMar>
              <w:top w:w="100" w:type="dxa"/>
              <w:bottom w:w="100" w:type="dxa"/>
              <w:left w:w="120" w:type="dxa"/>
              <w:right w:w="120" w:type="dxa"/>
            </w:tcMar>
          </w:tcPr>
          <w:p>
            <w:pPr>
              <w:spacing w:after="40" w:line="240" w:lineRule="auto"/>
            </w:pPr>
            <w:r>
              <w:t>Propuesta económica de consultoría validada</w:t>
            </w:r>
          </w:p>
        </w:tc>
        <w:tc>
          <w:tcPr>
            <w:tcW w:type="dxa" w:w="2880"/>
            <w:tcMar>
              <w:top w:w="100" w:type="dxa"/>
              <w:bottom w:w="100" w:type="dxa"/>
              <w:left w:w="120" w:type="dxa"/>
              <w:right w:w="120" w:type="dxa"/>
            </w:tcMar>
          </w:tcPr>
          <w:p>
            <w:pPr>
              <w:spacing w:after="40" w:line="240" w:lineRule="auto"/>
            </w:pPr>
            <w:r>
              <w:t>5</w:t>
            </w:r>
          </w:p>
        </w:tc>
      </w:tr>
    </w:tbl>
    <w:p>
      <w:pPr>
        <w:spacing w:after="120"/>
      </w:pPr>
    </w:p>
    <w:p>
      <w:pPr>
        <w:pStyle w:val="Heading2"/>
        <w:spacing w:before="360" w:after="120"/>
      </w:pPr>
      <w:r>
        <w:rPr>
          <w:color w:val="529ED7"/>
        </w:rPr>
        <w:t>2.5 Los 7 conocimientos del Elemento 1</w:t>
      </w:r>
    </w:p>
    <w:p>
      <w:pPr>
        <w:spacing w:after="120" w:line="276" w:lineRule="auto"/>
      </w:pPr>
      <w:r>
        <w:t xml:space="preserve">El nivel </w:t>
      </w:r>
      <w:r>
        <w:rPr>
          <w:b/>
        </w:rPr>
      </w:r>
      <w:r>
        <w:t>Comprensión</w:t>
      </w:r>
      <w:r>
        <w:t xml:space="preserve"> significa que puedes explicar el concepto; el nivel </w:t>
      </w:r>
      <w:r>
        <w:rPr>
          <w:b/>
        </w:rPr>
      </w:r>
      <w:r>
        <w:t>Aplicación</w:t>
      </w:r>
      <w:r>
        <w:t xml:space="preserve"> significa que puedes ponerlo en práctica.</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Área de conocimiento</w:t>
            </w:r>
          </w:p>
        </w:tc>
        <w:tc>
          <w:tcPr>
            <w:tcW w:type="dxa" w:w="4320"/>
            <w:shd w:fill="E5E7EB"/>
            <w:tcMar>
              <w:top w:w="100" w:type="dxa"/>
              <w:bottom w:w="100" w:type="dxa"/>
              <w:left w:w="120" w:type="dxa"/>
              <w:right w:w="120" w:type="dxa"/>
            </w:tcMar>
          </w:tcPr>
          <w:p>
            <w:pPr>
              <w:spacing w:after="40" w:line="240" w:lineRule="auto"/>
            </w:pPr>
            <w:r>
              <w:rPr>
                <w:b/>
              </w:rPr>
              <w:t>Nivel</w:t>
            </w:r>
          </w:p>
        </w:tc>
      </w:tr>
      <w:tr>
        <w:tc>
          <w:tcPr>
            <w:tcW w:type="dxa" w:w="4320"/>
            <w:tcMar>
              <w:top w:w="100" w:type="dxa"/>
              <w:bottom w:w="100" w:type="dxa"/>
              <w:left w:w="120" w:type="dxa"/>
              <w:right w:w="120" w:type="dxa"/>
            </w:tcMar>
          </w:tcPr>
          <w:p>
            <w:pPr>
              <w:spacing w:after="40" w:line="240" w:lineRule="auto"/>
            </w:pPr>
            <w:r>
              <w:t>Principios de cambio organizacional en la transformación digital</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Formulación de indicadores</w:t>
            </w:r>
          </w:p>
        </w:tc>
        <w:tc>
          <w:tcPr>
            <w:tcW w:type="dxa" w:w="4320"/>
            <w:tcMar>
              <w:top w:w="100" w:type="dxa"/>
              <w:bottom w:w="100" w:type="dxa"/>
              <w:left w:w="120" w:type="dxa"/>
              <w:right w:w="120" w:type="dxa"/>
            </w:tcMar>
          </w:tcPr>
          <w:p>
            <w:pPr>
              <w:spacing w:after="40" w:line="240" w:lineRule="auto"/>
            </w:pPr>
            <w:r>
              <w:t>Aplicación</w:t>
            </w:r>
          </w:p>
        </w:tc>
      </w:tr>
      <w:tr>
        <w:tc>
          <w:tcPr>
            <w:tcW w:type="dxa" w:w="4320"/>
            <w:tcMar>
              <w:top w:w="100" w:type="dxa"/>
              <w:bottom w:w="100" w:type="dxa"/>
              <w:left w:w="120" w:type="dxa"/>
              <w:right w:w="120" w:type="dxa"/>
            </w:tcMar>
          </w:tcPr>
          <w:p>
            <w:pPr>
              <w:spacing w:after="40" w:line="240" w:lineRule="auto"/>
            </w:pPr>
            <w:r>
              <w:t>Ingeniería de prompts (Few-shot, Chain-of-thought, roles y contextos, optimización para resultados empresariales)</w:t>
            </w:r>
          </w:p>
        </w:tc>
        <w:tc>
          <w:tcPr>
            <w:tcW w:type="dxa" w:w="4320"/>
            <w:tcMar>
              <w:top w:w="100" w:type="dxa"/>
              <w:bottom w:w="100" w:type="dxa"/>
              <w:left w:w="120" w:type="dxa"/>
              <w:right w:w="120" w:type="dxa"/>
            </w:tcMar>
          </w:tcPr>
          <w:p>
            <w:pPr>
              <w:spacing w:after="40" w:line="240" w:lineRule="auto"/>
            </w:pPr>
            <w:r>
              <w:t>Aplicación</w:t>
            </w:r>
          </w:p>
        </w:tc>
      </w:tr>
      <w:tr>
        <w:tc>
          <w:tcPr>
            <w:tcW w:type="dxa" w:w="4320"/>
            <w:tcMar>
              <w:top w:w="100" w:type="dxa"/>
              <w:bottom w:w="100" w:type="dxa"/>
              <w:left w:w="120" w:type="dxa"/>
              <w:right w:w="120" w:type="dxa"/>
            </w:tcMar>
          </w:tcPr>
          <w:p>
            <w:pPr>
              <w:spacing w:after="40" w:line="240" w:lineRule="auto"/>
            </w:pPr>
            <w:r>
              <w:t>Herramientas/plataformas de IA disponibles (LLMs locales y de pago)</w:t>
            </w:r>
          </w:p>
        </w:tc>
        <w:tc>
          <w:tcPr>
            <w:tcW w:type="dxa" w:w="4320"/>
            <w:tcMar>
              <w:top w:w="100" w:type="dxa"/>
              <w:bottom w:w="100" w:type="dxa"/>
              <w:left w:w="120" w:type="dxa"/>
              <w:right w:w="120" w:type="dxa"/>
            </w:tcMar>
          </w:tcPr>
          <w:p>
            <w:pPr>
              <w:spacing w:after="40" w:line="240" w:lineRule="auto"/>
            </w:pPr>
            <w:r>
              <w:t>Aplicación</w:t>
            </w:r>
          </w:p>
        </w:tc>
      </w:tr>
      <w:tr>
        <w:tc>
          <w:tcPr>
            <w:tcW w:type="dxa" w:w="4320"/>
            <w:tcMar>
              <w:top w:w="100" w:type="dxa"/>
              <w:bottom w:w="100" w:type="dxa"/>
              <w:left w:w="120" w:type="dxa"/>
              <w:right w:w="120" w:type="dxa"/>
            </w:tcMar>
          </w:tcPr>
          <w:p>
            <w:pPr>
              <w:spacing w:after="40" w:line="240" w:lineRule="auto"/>
            </w:pPr>
            <w:r>
              <w:t>Principios de ética y uso responsable de IA (sesgos, transparencia, anonimización)</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Protección de datos personales en soluciones de IA para MiPyMEs (LFPDPPP)</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Limitaciones y riesgos de la IA (alucinaciones, dependencia, costos, supervisión humana)</w:t>
            </w:r>
          </w:p>
        </w:tc>
        <w:tc>
          <w:tcPr>
            <w:tcW w:type="dxa" w:w="4320"/>
            <w:tcMar>
              <w:top w:w="100" w:type="dxa"/>
              <w:bottom w:w="100" w:type="dxa"/>
              <w:left w:w="120" w:type="dxa"/>
              <w:right w:w="120" w:type="dxa"/>
            </w:tcMar>
          </w:tcPr>
          <w:p>
            <w:pPr>
              <w:spacing w:after="40" w:line="240" w:lineRule="auto"/>
            </w:pPr>
            <w:r>
              <w:t>Comprensión</w:t>
            </w:r>
          </w:p>
        </w:tc>
      </w:tr>
    </w:tbl>
    <w:p>
      <w:pPr>
        <w:spacing w:after="120"/>
      </w:pP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Para tener presente: </w:t>
            </w:r>
            <w:r>
              <w:t>Los tres conocimientos con nivelAplicación(Formulación de indicadores, Ingeniería de prompts y Herramientas/plataformas) son los más probables de evaluarse mediante casos prácticos. Prepáralos con ejercicios concretos: redacta prompts, formula indicadores con métrica clara, y mantén un inventario actualizado de las herramientas que conoces. El conocimiento sobreprotección de datos en IAes el más extenso y técnico: revísalo en la LFPDPPP vigente, con énfasis en clasificación de datos, transferencias a terceros, aviso de privacidad y obligaciones derivadas del uso de IA generativa.</w:t>
            </w:r>
          </w:p>
        </w:tc>
      </w:tr>
    </w:tbl>
    <w:p>
      <w:pPr>
        <w:spacing w:after="120"/>
      </w:pPr>
    </w:p>
    <w:p>
      <w:pPr>
        <w:pStyle w:val="Heading2"/>
        <w:spacing w:before="360" w:after="120"/>
      </w:pPr>
      <w:r>
        <w:rPr>
          <w:color w:val="529ED7"/>
        </w:rPr>
        <w:t>2.6 Iniciativa y Orden (AHV)</w:t>
      </w:r>
    </w:p>
    <w:p>
      <w:pPr>
        <w:spacing w:after="120" w:line="276" w:lineRule="auto"/>
      </w:pPr>
      <w:r>
        <w:t>El F21 contempla dos actitudes para el Elemento 1, que tu evaluador observará durante la ejecución de los desempeños:</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AHV</w:t>
            </w:r>
          </w:p>
        </w:tc>
        <w:tc>
          <w:tcPr>
            <w:tcW w:type="dxa" w:w="4320"/>
            <w:shd w:fill="E5E7EB"/>
            <w:tcMar>
              <w:top w:w="100" w:type="dxa"/>
              <w:bottom w:w="100" w:type="dxa"/>
              <w:left w:w="120" w:type="dxa"/>
              <w:right w:w="120" w:type="dxa"/>
            </w:tcMar>
          </w:tcPr>
          <w:p>
            <w:pPr>
              <w:spacing w:after="40" w:line="240" w:lineRule="auto"/>
            </w:pPr>
            <w:r>
              <w:rPr>
                <w:b/>
              </w:rPr>
              <w:t>Definición conforme al F21</w:t>
            </w:r>
          </w:p>
        </w:tc>
      </w:tr>
      <w:tr>
        <w:tc>
          <w:tcPr>
            <w:tcW w:type="dxa" w:w="4320"/>
            <w:tcMar>
              <w:top w:w="100" w:type="dxa"/>
              <w:bottom w:w="100" w:type="dxa"/>
              <w:left w:w="120" w:type="dxa"/>
              <w:right w:w="120" w:type="dxa"/>
            </w:tcMar>
          </w:tcPr>
          <w:p>
            <w:pPr>
              <w:spacing w:after="40" w:line="240" w:lineRule="auto"/>
            </w:pPr>
            <w:r>
              <w:rPr>
                <w:b/>
              </w:rPr>
            </w:r>
            <w:r>
              <w:t>Iniciativa</w:t>
            </w:r>
          </w:p>
        </w:tc>
        <w:tc>
          <w:tcPr>
            <w:tcW w:type="dxa" w:w="4320"/>
            <w:tcMar>
              <w:top w:w="100" w:type="dxa"/>
              <w:bottom w:w="100" w:type="dxa"/>
              <w:left w:w="120" w:type="dxa"/>
              <w:right w:w="120" w:type="dxa"/>
            </w:tcMar>
          </w:tcPr>
          <w:p>
            <w:pPr>
              <w:spacing w:after="40" w:line="240" w:lineRule="auto"/>
            </w:pPr>
            <w:r>
              <w:t>La manera en que profundizas en la información mediante preguntas adicionales, observación directa y análisis para identificar ineficiencias o tareas repetitivas.</w:t>
            </w:r>
          </w:p>
        </w:tc>
      </w:tr>
      <w:tr>
        <w:tc>
          <w:tcPr>
            <w:tcW w:type="dxa" w:w="4320"/>
            <w:tcMar>
              <w:top w:w="100" w:type="dxa"/>
              <w:bottom w:w="100" w:type="dxa"/>
              <w:left w:w="120" w:type="dxa"/>
              <w:right w:w="120" w:type="dxa"/>
            </w:tcMar>
          </w:tcPr>
          <w:p>
            <w:pPr>
              <w:spacing w:after="40" w:line="240" w:lineRule="auto"/>
            </w:pPr>
            <w:r>
              <w:rPr>
                <w:b/>
              </w:rPr>
            </w:r>
            <w:r>
              <w:t>Orden</w:t>
            </w:r>
          </w:p>
        </w:tc>
        <w:tc>
          <w:tcPr>
            <w:tcW w:type="dxa" w:w="4320"/>
            <w:tcMar>
              <w:top w:w="100" w:type="dxa"/>
              <w:bottom w:w="100" w:type="dxa"/>
              <w:left w:w="120" w:type="dxa"/>
              <w:right w:w="120" w:type="dxa"/>
            </w:tcMar>
          </w:tcPr>
          <w:p>
            <w:pPr>
              <w:spacing w:after="40" w:line="240" w:lineRule="auto"/>
            </w:pPr>
            <w:r>
              <w:t>La manera en que organizas la información obtenida y los resultados de forma clara y estructurada durante la presentación de la propuesta.</w:t>
            </w:r>
          </w:p>
        </w:tc>
      </w:tr>
    </w:tbl>
    <w:p>
      <w:pPr>
        <w:spacing w:after="120"/>
      </w:pPr>
    </w:p>
    <w:p>
      <w:pPr>
        <w:spacing w:after="120" w:line="276" w:lineRule="auto"/>
      </w:pPr>
      <w:r>
        <w:t xml:space="preserve">Estas actitudes no se evalúan en abstracto: se observan a lo largo de los desempeños 1.1 y 1.2. La </w:t>
      </w:r>
      <w:r>
        <w:rPr>
          <w:b/>
        </w:rPr>
      </w:r>
      <w:r>
        <w:t>Iniciativa</w:t>
      </w:r>
      <w:r>
        <w:t xml:space="preserve"> se aprecia en cómo conduces la fase de levantamiento (preguntas adicionales no previstas, observación más allá de lo señalado, contraste de hipótesis). El </w:t>
      </w:r>
      <w:r>
        <w:rPr>
          <w:b/>
        </w:rPr>
      </w:r>
      <w:r>
        <w:t>Orden</w:t>
      </w:r>
      <w:r>
        <w:t xml:space="preserve"> se aprecia en la estructura con la que organizas los hallazgos y la propuesta.</w:t>
      </w:r>
    </w:p>
    <w:p>
      <w:pPr>
        <w:pStyle w:val="Heading2"/>
        <w:spacing w:before="360" w:after="120"/>
      </w:pPr>
      <w:r>
        <w:rPr>
          <w:color w:val="529ED7"/>
        </w:rPr>
        <w:t>2.7 Glosario operativo del Elemento 1</w:t>
      </w:r>
    </w:p>
    <w:p>
      <w:pPr>
        <w:pStyle w:val="Heading2"/>
        <w:spacing w:before="360" w:after="120"/>
      </w:pPr>
      <w:r>
        <w:rPr>
          <w:color w:val="529ED7"/>
        </w:rPr>
        <w:t>2.8 Reflexión y puntos clave</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Pausa de reflexión: </w:t>
            </w:r>
            <w:r>
              <w:t>De los 8 productos,¿cuántos ya tienes preparadosde tu proyecto real con la MiPyME? Identifica los faltantes hoy. La Semana 2 de laruta de preparaciónestá enteramente dedicada a cerrar productos del Elemento 1; planifica esa semana ahora.</w:t>
            </w:r>
          </w:p>
        </w:tc>
      </w:tr>
    </w:tbl>
    <w:p>
      <w:pPr>
        <w:spacing w:after="120"/>
      </w:pPr>
    </w:p>
    <w:p>
      <w:pPr>
        <w:pStyle w:val="Heading2"/>
        <w:spacing w:before="360" w:after="120"/>
      </w:pPr>
      <w:r>
        <w:rPr>
          <w:color w:val="529ED7"/>
        </w:rPr>
        <w:t>2.9 Práctica · Asigna criterios y decide</w:t>
      </w:r>
    </w:p>
    <w:p>
      <w:pPr>
        <w:pStyle w:val="Heading3"/>
        <w:spacing w:before="240" w:after="80"/>
      </w:pPr>
      <w:r>
        <w:rPr>
          <w:color w:val="28467E"/>
        </w:rPr>
        <w:t>Asigna cada característica F21 a su producto</w:t>
      </w:r>
    </w:p>
    <w:p>
      <w:pPr>
        <w:spacing w:after="120" w:line="276" w:lineRule="auto"/>
      </w:pPr>
      <w:r>
        <w:t xml:space="preserve">Cada producto del E1 está descrito por características en el F21 oficial. Arrastra cada característica al producto correspondiente. Si prefieres teclado: </w:t>
      </w:r>
      <w:r>
        <w:t>Tab</w:t>
      </w:r>
      <w:r>
        <w:t xml:space="preserve"> enfoca la característica, </w:t>
      </w:r>
      <w:r>
        <w:t>Espacio</w:t>
      </w:r>
      <w:r>
        <w:t xml:space="preserve"> la toma, flechas la mueven, </w:t>
      </w:r>
      <w:r>
        <w:t>Espacio</w:t>
      </w:r>
      <w:r>
        <w:t xml:space="preserve"> la suelta.</w:t>
      </w:r>
    </w:p>
    <w:p>
      <w:pPr>
        <w:pStyle w:val="Heading3"/>
        <w:spacing w:before="240" w:after="80"/>
      </w:pPr>
      <w:r>
        <w:rPr>
          <w:color w:val="28467E"/>
        </w:rPr>
        <w:t>Aplica el Elemento 1 · La Espiga te llama</w:t>
      </w:r>
    </w:p>
    <w:p>
      <w:pPr>
        <w:spacing w:after="120" w:line="276" w:lineRule="auto"/>
      </w:pPr>
      <w:r>
        <w:t xml:space="preserve">Doña Beatriz acaba de aprobar tu diagnóstico inicial. Ahora viene el momento clave: ¿con qué entregable de la </w:t>
      </w:r>
      <w:r>
        <w:rPr>
          <w:b/>
        </w:rPr>
      </w:r>
      <w:r>
        <w:t>matriz de impacto/viabilidad (1.4.5)</w:t>
      </w:r>
      <w:r>
        <w:t xml:space="preserve"> regresas a la siguiente reunión? Tu decisión define el resto del proyecto.</w:t>
      </w:r>
    </w:p>
    <w:p>
      <w:r>
        <w:br w:type="page"/>
      </w:r>
    </w:p>
    <w:p>
      <w:pPr>
        <w:spacing w:before="480" w:after="40"/>
      </w:pPr>
      <w:r>
        <w:rPr>
          <w:b/>
          <w:color w:val="787878"/>
          <w:sz w:val="18"/>
        </w:rPr>
        <w:t>CAPÍTULO 3 · LA CONSULTORÍA SE HACE TANGIBLE</w:t>
      </w:r>
    </w:p>
    <w:p>
      <w:pPr>
        <w:pStyle w:val="Heading1"/>
        <w:spacing w:before="120" w:after="240"/>
      </w:pPr>
      <w:r>
        <w:rPr>
          <w:color w:val="28467E"/>
        </w:rPr>
        <w:t>Elemento 2 — Ejecutar la implementación en el entorno de la MiPyME</w:t>
      </w:r>
    </w:p>
    <w:p>
      <w:pPr>
        <w:spacing w:after="360"/>
      </w:pPr>
      <w:r>
        <w:rPr>
          <w:i/>
          <w:color w:val="505050"/>
          <w:sz w:val="22"/>
        </w:rPr>
        <w:t>Tras la planeación llega la ejecución. Este elemento traduce la propuesta aceptada en realidad operativa: configura las herramientas, integra los accesos, prueba el funcionamiento, capacita al personal y deja a la empresa operando autónomamente.</w:t>
      </w:r>
    </w:p>
    <w:p>
      <w:pPr>
        <w:pStyle w:val="Heading2"/>
        <w:spacing w:before="360" w:after="120"/>
      </w:pPr>
      <w:r>
        <w:rPr>
          <w:color w:val="529ED7"/>
        </w:rPr>
        <w:t>3.1 Qué harás en este elemento</w:t>
      </w:r>
    </w:p>
    <w:p>
      <w:pPr>
        <w:spacing w:after="120" w:line="276" w:lineRule="auto"/>
      </w:pPr>
      <w:r>
        <w:t>Con la propuesta firmada y la hoja de ruta aprobada, tu trabajo se concentra en cuatro actividades:</w:t>
      </w:r>
    </w:p>
    <w:p>
      <w:pPr>
        <w:pStyle w:val="ListNumber"/>
        <w:spacing w:after="60" w:line="276" w:lineRule="auto"/>
      </w:pPr>
      <w:r>
        <w:rPr>
          <w:b/>
        </w:rPr>
      </w:r>
      <w:r>
        <w:t>Configurar las herramientas</w:t>
      </w:r>
      <w:r>
        <w:t xml:space="preserve"> y plataformas de IA seleccionadas en el entorno tecnológico de la MiPyME, con parámetros, integraciones y accesos correspondientes.</w:t>
      </w:r>
    </w:p>
    <w:p>
      <w:pPr>
        <w:pStyle w:val="ListNumber"/>
        <w:spacing w:after="60" w:line="276" w:lineRule="auto"/>
      </w:pPr>
      <w:r>
        <w:rPr>
          <w:b/>
        </w:rPr>
      </w:r>
      <w:r>
        <w:t>Documentar técnicamente</w:t>
      </w:r>
      <w:r>
        <w:t xml:space="preserve"> esa configuración para que la solución sea operable y auditable más allá de tu presencia como consultor.</w:t>
      </w:r>
    </w:p>
    <w:p>
      <w:pPr>
        <w:pStyle w:val="ListNumber"/>
        <w:spacing w:after="60" w:line="276" w:lineRule="auto"/>
      </w:pPr>
      <w:r>
        <w:rPr>
          <w:b/>
        </w:rPr>
      </w:r>
      <w:r>
        <w:t>Elaborar material de capacitación</w:t>
      </w:r>
      <w:r>
        <w:t xml:space="preserve"> adaptado al nivel digital del personal, con instrucciones paso a paso, ejemplos contextualizados y buenas prácticas.</w:t>
      </w:r>
    </w:p>
    <w:p>
      <w:pPr>
        <w:pStyle w:val="ListNumber"/>
        <w:spacing w:after="60" w:line="276" w:lineRule="auto"/>
      </w:pPr>
      <w:r>
        <w:rPr>
          <w:b/>
        </w:rPr>
      </w:r>
      <w:r>
        <w:t>Presentar las soluciones implementadas</w:t>
      </w:r>
      <w:r>
        <w:t xml:space="preserve"> al emprendedor y </w:t>
      </w:r>
      <w:r>
        <w:rPr>
          <w:b/>
        </w:rPr>
      </w:r>
      <w:r>
        <w:t>capacitar al personal</w:t>
      </w:r>
      <w:r>
        <w:t xml:space="preserve"> para su uso autónomo, validando la comprensión mediante ejercicios prácticos.</w:t>
      </w:r>
    </w:p>
    <w:p>
      <w:pPr>
        <w:pStyle w:val="Heading2"/>
        <w:spacing w:before="360" w:after="120"/>
      </w:pPr>
      <w:r>
        <w:rPr>
          <w:color w:val="529ED7"/>
        </w:rPr>
        <w:t>3.2 Cómo se te evaluará en este elemento</w:t>
      </w:r>
    </w:p>
    <w:tbl>
      <w:tblPr>
        <w:tblStyle w:val="TableGrid"/>
        <w:tblW w:type="auto" w:w="0"/>
        <w:tblLook w:firstColumn="1" w:firstRow="1" w:lastColumn="0" w:lastRow="0" w:noHBand="0" w:noVBand="1" w:val="04A0"/>
      </w:tblPr>
      <w:tblGrid>
        <w:gridCol w:w="2880"/>
        <w:gridCol w:w="2880"/>
        <w:gridCol w:w="2880"/>
      </w:tblGrid>
      <w:tr>
        <w:tc>
          <w:tcPr>
            <w:tcW w:type="dxa" w:w="2880"/>
            <w:shd w:fill="E5E7EB"/>
            <w:tcMar>
              <w:top w:w="100" w:type="dxa"/>
              <w:bottom w:w="100" w:type="dxa"/>
              <w:left w:w="120" w:type="dxa"/>
              <w:right w:w="120" w:type="dxa"/>
            </w:tcMar>
          </w:tcPr>
          <w:p>
            <w:pPr>
              <w:spacing w:after="40" w:line="240" w:lineRule="auto"/>
            </w:pPr>
            <w:r>
              <w:rPr>
                <w:b/>
              </w:rPr>
              <w:t>Tipo de evidencia</w:t>
            </w:r>
          </w:p>
        </w:tc>
        <w:tc>
          <w:tcPr>
            <w:tcW w:type="dxa" w:w="2880"/>
            <w:shd w:fill="E5E7EB"/>
            <w:tcMar>
              <w:top w:w="100" w:type="dxa"/>
              <w:bottom w:w="100" w:type="dxa"/>
              <w:left w:w="120" w:type="dxa"/>
              <w:right w:w="120" w:type="dxa"/>
            </w:tcMar>
          </w:tcPr>
          <w:p>
            <w:pPr>
              <w:spacing w:after="40" w:line="240" w:lineRule="auto"/>
            </w:pPr>
            <w:r>
              <w:rPr>
                <w:b/>
              </w:rPr>
              <w:t>Cuántos criterios</w:t>
            </w:r>
          </w:p>
        </w:tc>
        <w:tc>
          <w:tcPr>
            <w:tcW w:type="dxa" w:w="2880"/>
            <w:shd w:fill="E5E7EB"/>
            <w:tcMar>
              <w:top w:w="100" w:type="dxa"/>
              <w:bottom w:w="100" w:type="dxa"/>
              <w:left w:w="120" w:type="dxa"/>
              <w:right w:w="120" w:type="dxa"/>
            </w:tcMar>
          </w:tcPr>
          <w:p>
            <w:pPr>
              <w:spacing w:after="40" w:line="240" w:lineRule="auto"/>
            </w:pPr>
            <w:r>
              <w:rPr>
                <w:b/>
              </w:rPr>
              <w:t>Cómo se valora</w:t>
            </w:r>
          </w:p>
        </w:tc>
      </w:tr>
      <w:tr>
        <w:tc>
          <w:tcPr>
            <w:tcW w:type="dxa" w:w="2880"/>
            <w:tcMar>
              <w:top w:w="100" w:type="dxa"/>
              <w:bottom w:w="100" w:type="dxa"/>
              <w:left w:w="120" w:type="dxa"/>
              <w:right w:w="120" w:type="dxa"/>
            </w:tcMar>
          </w:tcPr>
          <w:p>
            <w:pPr>
              <w:spacing w:after="40" w:line="240" w:lineRule="auto"/>
            </w:pPr>
            <w:r>
              <w:rPr>
                <w:b/>
              </w:rPr>
            </w:r>
            <w:r>
              <w:t>Desempeños observables</w:t>
            </w:r>
          </w:p>
        </w:tc>
        <w:tc>
          <w:tcPr>
            <w:tcW w:type="dxa" w:w="2880"/>
            <w:tcMar>
              <w:top w:w="100" w:type="dxa"/>
              <w:bottom w:w="100" w:type="dxa"/>
              <w:left w:w="120" w:type="dxa"/>
              <w:right w:w="120" w:type="dxa"/>
            </w:tcMar>
          </w:tcPr>
          <w:p>
            <w:pPr>
              <w:spacing w:after="40" w:line="240" w:lineRule="auto"/>
            </w:pPr>
            <w:r>
              <w:t>2 desempeños</w:t>
            </w:r>
          </w:p>
        </w:tc>
        <w:tc>
          <w:tcPr>
            <w:tcW w:type="dxa" w:w="2880"/>
            <w:tcMar>
              <w:top w:w="100" w:type="dxa"/>
              <w:bottom w:w="100" w:type="dxa"/>
              <w:left w:w="120" w:type="dxa"/>
              <w:right w:w="120" w:type="dxa"/>
            </w:tcMar>
          </w:tcPr>
          <w:p>
            <w:pPr>
              <w:spacing w:after="40" w:line="240" w:lineRule="auto"/>
            </w:pPr>
            <w:r>
              <w:t>El evaluador observa cómo presentas las soluciones al emprendedor y cómo capacitas al personal.</w:t>
            </w:r>
          </w:p>
        </w:tc>
      </w:tr>
      <w:tr>
        <w:tc>
          <w:tcPr>
            <w:tcW w:type="dxa" w:w="2880"/>
            <w:tcMar>
              <w:top w:w="100" w:type="dxa"/>
              <w:bottom w:w="100" w:type="dxa"/>
              <w:left w:w="120" w:type="dxa"/>
              <w:right w:w="120" w:type="dxa"/>
            </w:tcMar>
          </w:tcPr>
          <w:p>
            <w:pPr>
              <w:spacing w:after="40" w:line="240" w:lineRule="auto"/>
            </w:pPr>
            <w:r>
              <w:rPr>
                <w:b/>
              </w:rPr>
            </w:r>
            <w:r>
              <w:t>Productos entregables</w:t>
            </w:r>
          </w:p>
        </w:tc>
        <w:tc>
          <w:tcPr>
            <w:tcW w:type="dxa" w:w="2880"/>
            <w:tcMar>
              <w:top w:w="100" w:type="dxa"/>
              <w:bottom w:w="100" w:type="dxa"/>
              <w:left w:w="120" w:type="dxa"/>
              <w:right w:w="120" w:type="dxa"/>
            </w:tcMar>
          </w:tcPr>
          <w:p>
            <w:pPr>
              <w:spacing w:after="40" w:line="240" w:lineRule="auto"/>
            </w:pPr>
            <w:r>
              <w:t>3 productos</w:t>
            </w:r>
          </w:p>
        </w:tc>
        <w:tc>
          <w:tcPr>
            <w:tcW w:type="dxa" w:w="2880"/>
            <w:tcMar>
              <w:top w:w="100" w:type="dxa"/>
              <w:bottom w:w="100" w:type="dxa"/>
              <w:left w:w="120" w:type="dxa"/>
              <w:right w:w="120" w:type="dxa"/>
            </w:tcMar>
          </w:tcPr>
          <w:p>
            <w:pPr>
              <w:spacing w:after="40" w:line="240" w:lineRule="auto"/>
            </w:pPr>
            <w:r>
              <w:t>Soluciones operando, informe técnico, material de capacitación.</w:t>
            </w:r>
          </w:p>
        </w:tc>
      </w:tr>
      <w:tr>
        <w:tc>
          <w:tcPr>
            <w:tcW w:type="dxa" w:w="2880"/>
            <w:tcMar>
              <w:top w:w="100" w:type="dxa"/>
              <w:bottom w:w="100" w:type="dxa"/>
              <w:left w:w="120" w:type="dxa"/>
              <w:right w:w="120" w:type="dxa"/>
            </w:tcMar>
          </w:tcPr>
          <w:p>
            <w:pPr>
              <w:spacing w:after="40" w:line="240" w:lineRule="auto"/>
            </w:pPr>
            <w:r>
              <w:rPr>
                <w:b/>
              </w:rPr>
            </w:r>
            <w:r>
              <w:t>Conocimientos</w:t>
            </w:r>
          </w:p>
        </w:tc>
        <w:tc>
          <w:tcPr>
            <w:tcW w:type="dxa" w:w="2880"/>
            <w:tcMar>
              <w:top w:w="100" w:type="dxa"/>
              <w:bottom w:w="100" w:type="dxa"/>
              <w:left w:w="120" w:type="dxa"/>
              <w:right w:w="120" w:type="dxa"/>
            </w:tcMar>
          </w:tcPr>
          <w:p>
            <w:pPr>
              <w:spacing w:after="40" w:line="240" w:lineRule="auto"/>
            </w:pPr>
            <w:r>
              <w:t>4 áreas</w:t>
            </w:r>
          </w:p>
        </w:tc>
        <w:tc>
          <w:tcPr>
            <w:tcW w:type="dxa" w:w="2880"/>
            <w:tcMar>
              <w:top w:w="100" w:type="dxa"/>
              <w:bottom w:w="100" w:type="dxa"/>
              <w:left w:w="120" w:type="dxa"/>
              <w:right w:w="120" w:type="dxa"/>
            </w:tcMar>
          </w:tcPr>
          <w:p>
            <w:pPr>
              <w:spacing w:after="40" w:line="240" w:lineRule="auto"/>
            </w:pPr>
            <w:r>
              <w:t>Cuestionario sobre implementación, capacitación, verificación de funcionamiento y ciberseguridad.</w:t>
            </w:r>
          </w:p>
        </w:tc>
      </w:tr>
      <w:tr>
        <w:tc>
          <w:tcPr>
            <w:tcW w:type="dxa" w:w="2880"/>
            <w:tcMar>
              <w:top w:w="100" w:type="dxa"/>
              <w:bottom w:w="100" w:type="dxa"/>
              <w:left w:w="120" w:type="dxa"/>
              <w:right w:w="120" w:type="dxa"/>
            </w:tcMar>
          </w:tcPr>
          <w:p>
            <w:pPr>
              <w:spacing w:after="40" w:line="240" w:lineRule="auto"/>
            </w:pPr>
            <w:r>
              <w:rPr>
                <w:b/>
              </w:rPr>
            </w:r>
            <w:r>
              <w:t>AHV</w:t>
            </w:r>
          </w:p>
        </w:tc>
        <w:tc>
          <w:tcPr>
            <w:tcW w:type="dxa" w:w="2880"/>
            <w:tcMar>
              <w:top w:w="100" w:type="dxa"/>
              <w:bottom w:w="100" w:type="dxa"/>
              <w:left w:w="120" w:type="dxa"/>
              <w:right w:w="120" w:type="dxa"/>
            </w:tcMar>
          </w:tcPr>
          <w:p>
            <w:pPr>
              <w:spacing w:after="40" w:line="240" w:lineRule="auto"/>
            </w:pPr>
            <w:r>
              <w:t>2 (Responsabilidad, Cooperación)</w:t>
            </w:r>
          </w:p>
        </w:tc>
        <w:tc>
          <w:tcPr>
            <w:tcW w:type="dxa" w:w="2880"/>
            <w:tcMar>
              <w:top w:w="100" w:type="dxa"/>
              <w:bottom w:w="100" w:type="dxa"/>
              <w:left w:w="120" w:type="dxa"/>
              <w:right w:w="120" w:type="dxa"/>
            </w:tcMar>
          </w:tcPr>
          <w:p>
            <w:pPr>
              <w:spacing w:after="40" w:line="240" w:lineRule="auto"/>
            </w:pPr>
            <w:r>
              <w:t>Observadas durante los desempeños.</w:t>
            </w:r>
          </w:p>
        </w:tc>
      </w:tr>
    </w:tbl>
    <w:p>
      <w:pPr>
        <w:spacing w:after="120"/>
      </w:pPr>
    </w:p>
    <w:p>
      <w:pPr>
        <w:pStyle w:val="Heading2"/>
        <w:spacing w:before="360" w:after="120"/>
      </w:pPr>
      <w:r>
        <w:rPr>
          <w:color w:val="529ED7"/>
        </w:rPr>
        <w:t>3.3 Los desempeños del Elemento 2</w:t>
      </w:r>
    </w:p>
    <w:p>
      <w:pPr>
        <w:pStyle w:val="Heading3"/>
        <w:spacing w:before="240" w:after="80"/>
      </w:pPr>
      <w:r>
        <w:rPr>
          <w:color w:val="28467E"/>
        </w:rPr>
        <w:t>Desempeño 2.1 · Presenta al emprendedor las soluciones implementadas</w:t>
      </w:r>
    </w:p>
    <w:p>
      <w:pPr>
        <w:spacing w:after="120" w:line="276" w:lineRule="auto"/>
      </w:pPr>
      <w:r>
        <w:t xml:space="preserve">Tu evaluador observará cómo realizas la presentación a quienes operarán la solución. </w:t>
      </w:r>
      <w:r>
        <w:rPr>
          <w:b/>
        </w:rPr>
      </w:r>
      <w:r>
        <w:t>5 características:</w:t>
      </w:r>
    </w:p>
    <w:p>
      <w:pPr>
        <w:pStyle w:val="Heading3"/>
        <w:spacing w:before="240" w:after="80"/>
      </w:pPr>
      <w:r>
        <w:rPr>
          <w:color w:val="28467E"/>
        </w:rPr>
        <w:t>Desempeño 2.2 · Capacita al personal para la adopción de soluciones</w:t>
      </w:r>
    </w:p>
    <w:p>
      <w:pPr>
        <w:spacing w:after="120" w:line="276" w:lineRule="auto"/>
      </w:pPr>
      <w:r>
        <w:t xml:space="preserve">Tras la presentación general llega la capacitación operativa: la habilitación del personal para usar autónomamente las soluciones. </w:t>
      </w:r>
      <w:r>
        <w:rPr>
          <w:b/>
        </w:rPr>
      </w:r>
      <w:r>
        <w:t>7 características:</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La Espiga · Cómo se vería la capacitación a las encargadas: </w:t>
            </w:r>
            <w:r>
              <w:t>Convocas a las tres encargadas a la sucursal central un sábado por la mañana, antes del horario de apertura. Llevas una laptop conectada a una pantalla. Empiezas explicando, con un ejemplo concreto, cómo el asistente de WhatsApp ahora responde automáticamente a las consultas tipo"¿están abiertos?"o"¿tienen rosca?". Les muestras el panel de control donde pueden ver las consultas atendidas por el asistente y las que requieren intervención humana. Luego cada una toma el teléfono asignado y procesa cinco mensajes de prueba. Observas, anotas dificultades, resuelves dudas. Cierras entregando unaguía de uso impresa de tres páginascon capturas de pantalla y los pasos a seguir cuando el asistente no resuelve por sí solo.</w:t>
            </w:r>
          </w:p>
        </w:tc>
      </w:tr>
    </w:tbl>
    <w:p>
      <w:pPr>
        <w:spacing w:after="120"/>
      </w:pPr>
    </w:p>
    <w:p>
      <w:pPr>
        <w:pStyle w:val="Heading2"/>
        <w:spacing w:before="360" w:after="120"/>
      </w:pPr>
      <w:r>
        <w:rPr>
          <w:color w:val="529ED7"/>
        </w:rPr>
        <w:t>3.4 Los 3 productos del Elemento 2</w:t>
      </w:r>
    </w:p>
    <w:p>
      <w:pPr>
        <w:spacing w:after="120" w:line="276" w:lineRule="auto"/>
      </w:pPr>
      <w:r>
        <w:t xml:space="preserve">El Elemento 2 exige tres productos. El primero —las soluciones implementadas en operación— es un producto particular: </w:t>
      </w:r>
      <w:r>
        <w:rPr>
          <w:b/>
        </w:rPr>
      </w:r>
      <w:r>
        <w:t>no es un documento sino la solución misma funcionando</w:t>
      </w:r>
      <w:r>
        <w:t xml:space="preserve"> en el entorno de la MiPyME.</w:t>
      </w:r>
    </w:p>
    <w:p>
      <w:pPr>
        <w:pStyle w:val="Heading2"/>
        <w:spacing w:before="360" w:after="120"/>
      </w:pPr>
      <w:r>
        <w:rPr>
          <w:color w:val="529ED7"/>
        </w:rPr>
        <w:t>3.5 Los 4 conocimientos del Elemento 2</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Área de conocimiento</w:t>
            </w:r>
          </w:p>
        </w:tc>
        <w:tc>
          <w:tcPr>
            <w:tcW w:type="dxa" w:w="4320"/>
            <w:shd w:fill="E5E7EB"/>
            <w:tcMar>
              <w:top w:w="100" w:type="dxa"/>
              <w:bottom w:w="100" w:type="dxa"/>
              <w:left w:w="120" w:type="dxa"/>
              <w:right w:w="120" w:type="dxa"/>
            </w:tcMar>
          </w:tcPr>
          <w:p>
            <w:pPr>
              <w:spacing w:after="40" w:line="240" w:lineRule="auto"/>
            </w:pPr>
            <w:r>
              <w:rPr>
                <w:b/>
              </w:rPr>
              <w:t>Nivel</w:t>
            </w:r>
          </w:p>
        </w:tc>
      </w:tr>
      <w:tr>
        <w:tc>
          <w:tcPr>
            <w:tcW w:type="dxa" w:w="4320"/>
            <w:tcMar>
              <w:top w:w="100" w:type="dxa"/>
              <w:bottom w:w="100" w:type="dxa"/>
              <w:left w:w="120" w:type="dxa"/>
              <w:right w:w="120" w:type="dxa"/>
            </w:tcMar>
          </w:tcPr>
          <w:p>
            <w:pPr>
              <w:spacing w:after="40" w:line="240" w:lineRule="auto"/>
            </w:pPr>
            <w:r>
              <w:t>Implementación de soluciones de IA (configuración en entornos empresariales, integración con procesos)</w:t>
            </w:r>
          </w:p>
        </w:tc>
        <w:tc>
          <w:tcPr>
            <w:tcW w:type="dxa" w:w="4320"/>
            <w:tcMar>
              <w:top w:w="100" w:type="dxa"/>
              <w:bottom w:w="100" w:type="dxa"/>
              <w:left w:w="120" w:type="dxa"/>
              <w:right w:w="120" w:type="dxa"/>
            </w:tcMar>
          </w:tcPr>
          <w:p>
            <w:pPr>
              <w:spacing w:after="40" w:line="240" w:lineRule="auto"/>
            </w:pPr>
            <w:r>
              <w:t>Aplicación</w:t>
            </w:r>
          </w:p>
        </w:tc>
      </w:tr>
      <w:tr>
        <w:tc>
          <w:tcPr>
            <w:tcW w:type="dxa" w:w="4320"/>
            <w:tcMar>
              <w:top w:w="100" w:type="dxa"/>
              <w:bottom w:w="100" w:type="dxa"/>
              <w:left w:w="120" w:type="dxa"/>
              <w:right w:w="120" w:type="dxa"/>
            </w:tcMar>
          </w:tcPr>
          <w:p>
            <w:pPr>
              <w:spacing w:after="40" w:line="240" w:lineRule="auto"/>
            </w:pPr>
            <w:r>
              <w:t>Metodologías de capacitación tecnológica (diseño de materiales, enseñanza práctica, adaptación de lenguaje)</w:t>
            </w:r>
          </w:p>
        </w:tc>
        <w:tc>
          <w:tcPr>
            <w:tcW w:type="dxa" w:w="4320"/>
            <w:tcMar>
              <w:top w:w="100" w:type="dxa"/>
              <w:bottom w:w="100" w:type="dxa"/>
              <w:left w:w="120" w:type="dxa"/>
              <w:right w:w="120" w:type="dxa"/>
            </w:tcMar>
          </w:tcPr>
          <w:p>
            <w:pPr>
              <w:spacing w:after="40" w:line="240" w:lineRule="auto"/>
            </w:pPr>
            <w:r>
              <w:t>Aplicación</w:t>
            </w:r>
          </w:p>
        </w:tc>
      </w:tr>
      <w:tr>
        <w:tc>
          <w:tcPr>
            <w:tcW w:type="dxa" w:w="4320"/>
            <w:tcMar>
              <w:top w:w="100" w:type="dxa"/>
              <w:bottom w:w="100" w:type="dxa"/>
              <w:left w:w="120" w:type="dxa"/>
              <w:right w:w="120" w:type="dxa"/>
            </w:tcMar>
          </w:tcPr>
          <w:p>
            <w:pPr>
              <w:spacing w:after="40" w:line="240" w:lineRule="auto"/>
            </w:pPr>
            <w:r>
              <w:t>Verificación del funcionamiento (validación, errores comunes, indicadores de desempeño, registro de pruebas)</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Ciberseguridad básica aplicada a soluciones de IA (protección de datos, accesos, impacto ético, transparencia, LFPDPPP)</w:t>
            </w:r>
          </w:p>
        </w:tc>
        <w:tc>
          <w:tcPr>
            <w:tcW w:type="dxa" w:w="4320"/>
            <w:tcMar>
              <w:top w:w="100" w:type="dxa"/>
              <w:bottom w:w="100" w:type="dxa"/>
              <w:left w:w="120" w:type="dxa"/>
              <w:right w:w="120" w:type="dxa"/>
            </w:tcMar>
          </w:tcPr>
          <w:p>
            <w:pPr>
              <w:spacing w:after="40" w:line="240" w:lineRule="auto"/>
            </w:pPr>
            <w:r>
              <w:t>Comprensión</w:t>
            </w:r>
          </w:p>
        </w:tc>
      </w:tr>
    </w:tbl>
    <w:p>
      <w:pPr>
        <w:spacing w:after="120"/>
      </w:pP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Importante: </w:t>
            </w:r>
            <w:r>
              <w:t>El cuarto conocimiento hace referencia explícita a artículos específicos de la LFPDPPP. Conviene que tengas presentes losartículos 5 a 12(principios de tratamiento),7, 8 y 14(aviso de privacidad y consentimiento),36 y 37(transferencias),22 a 34(derechos ARCO) y63 a 68(régimen de sanciones). La versión vigente de la LFPDPPP fue actualizada mediante reforma publicada en el DOF el 20 de marzo de 2025.</w:t>
            </w:r>
          </w:p>
        </w:tc>
      </w:tr>
    </w:tbl>
    <w:p>
      <w:pPr>
        <w:spacing w:after="120"/>
      </w:pPr>
    </w:p>
    <w:p>
      <w:pPr>
        <w:pStyle w:val="Heading2"/>
        <w:spacing w:before="360" w:after="120"/>
      </w:pPr>
      <w:r>
        <w:rPr>
          <w:color w:val="529ED7"/>
        </w:rPr>
        <w:t>3.6 Responsabilidad y Cooperación (AHV)</w:t>
      </w:r>
    </w:p>
    <w:p>
      <w:pPr>
        <w:spacing w:after="120" w:line="276" w:lineRule="auto"/>
      </w:pPr>
      <w:r>
        <w:t>El Elemento 2 es el primero del estándar que incorpora AHV como criterio de evaluación. Tu evaluador observará dos durante los desempeños:</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AHV</w:t>
            </w:r>
          </w:p>
        </w:tc>
        <w:tc>
          <w:tcPr>
            <w:tcW w:type="dxa" w:w="4320"/>
            <w:shd w:fill="E5E7EB"/>
            <w:tcMar>
              <w:top w:w="100" w:type="dxa"/>
              <w:bottom w:w="100" w:type="dxa"/>
              <w:left w:w="120" w:type="dxa"/>
              <w:right w:w="120" w:type="dxa"/>
            </w:tcMar>
          </w:tcPr>
          <w:p>
            <w:pPr>
              <w:spacing w:after="40" w:line="240" w:lineRule="auto"/>
            </w:pPr>
            <w:r>
              <w:rPr>
                <w:b/>
              </w:rPr>
              <w:t>Definición conforme al F21</w:t>
            </w:r>
          </w:p>
        </w:tc>
      </w:tr>
      <w:tr>
        <w:tc>
          <w:tcPr>
            <w:tcW w:type="dxa" w:w="4320"/>
            <w:tcMar>
              <w:top w:w="100" w:type="dxa"/>
              <w:bottom w:w="100" w:type="dxa"/>
              <w:left w:w="120" w:type="dxa"/>
              <w:right w:w="120" w:type="dxa"/>
            </w:tcMar>
          </w:tcPr>
          <w:p>
            <w:pPr>
              <w:spacing w:after="40" w:line="240" w:lineRule="auto"/>
            </w:pPr>
            <w:r>
              <w:rPr>
                <w:b/>
              </w:rPr>
            </w:r>
            <w:r>
              <w:t>Responsabilidad</w:t>
            </w:r>
          </w:p>
        </w:tc>
        <w:tc>
          <w:tcPr>
            <w:tcW w:type="dxa" w:w="4320"/>
            <w:tcMar>
              <w:top w:w="100" w:type="dxa"/>
              <w:bottom w:w="100" w:type="dxa"/>
              <w:left w:w="120" w:type="dxa"/>
              <w:right w:w="120" w:type="dxa"/>
            </w:tcMar>
          </w:tcPr>
          <w:p>
            <w:pPr>
              <w:spacing w:after="40" w:line="240" w:lineRule="auto"/>
            </w:pPr>
            <w:r>
              <w:t>La manera en que cumples con los compromisos de implementación acordados con el cliente, asegurando que las soluciones de IA se configuren, prueben y entreguen conforme al plan establecido.</w:t>
            </w:r>
          </w:p>
        </w:tc>
      </w:tr>
      <w:tr>
        <w:tc>
          <w:tcPr>
            <w:tcW w:type="dxa" w:w="4320"/>
            <w:tcMar>
              <w:top w:w="100" w:type="dxa"/>
              <w:bottom w:w="100" w:type="dxa"/>
              <w:left w:w="120" w:type="dxa"/>
              <w:right w:w="120" w:type="dxa"/>
            </w:tcMar>
          </w:tcPr>
          <w:p>
            <w:pPr>
              <w:spacing w:after="40" w:line="240" w:lineRule="auto"/>
            </w:pPr>
            <w:r>
              <w:rPr>
                <w:b/>
              </w:rPr>
            </w:r>
            <w:r>
              <w:t>Cooperación</w:t>
            </w:r>
          </w:p>
        </w:tc>
        <w:tc>
          <w:tcPr>
            <w:tcW w:type="dxa" w:w="4320"/>
            <w:tcMar>
              <w:top w:w="100" w:type="dxa"/>
              <w:bottom w:w="100" w:type="dxa"/>
              <w:left w:w="120" w:type="dxa"/>
              <w:right w:w="120" w:type="dxa"/>
            </w:tcMar>
          </w:tcPr>
          <w:p>
            <w:pPr>
              <w:spacing w:after="40" w:line="240" w:lineRule="auto"/>
            </w:pPr>
            <w:r>
              <w:t>La manera en que interactúas con el personal operativo de la MiPyME para adaptar la solución a sus necesidades reales, mostrando apertura para ajustar la configuración según la retroalimentación recibida.</w:t>
            </w:r>
          </w:p>
        </w:tc>
      </w:tr>
    </w:tbl>
    <w:p>
      <w:pPr>
        <w:spacing w:after="120"/>
      </w:pPr>
    </w:p>
    <w:p>
      <w:pPr>
        <w:spacing w:after="120" w:line="276" w:lineRule="auto"/>
      </w:pPr>
      <w:r>
        <w:t xml:space="preserve">La </w:t>
      </w:r>
      <w:r>
        <w:rPr>
          <w:b/>
        </w:rPr>
      </w:r>
      <w:r>
        <w:t>Responsabilidad</w:t>
      </w:r>
      <w:r>
        <w:t xml:space="preserve"> se aprecia en si las soluciones efectivamente se configuraron, probaron y entregaron conforme al plan. La </w:t>
      </w:r>
      <w:r>
        <w:rPr>
          <w:b/>
        </w:rPr>
      </w:r>
      <w:r>
        <w:t>Cooperación</w:t>
      </w:r>
      <w:r>
        <w:t xml:space="preserve"> se aprecia en cómo escuchas y atiendes la retroalimentación del personal durante la presentación y la capacitación.</w:t>
      </w:r>
    </w:p>
    <w:p>
      <w:pPr>
        <w:pStyle w:val="Heading2"/>
        <w:spacing w:before="360" w:after="120"/>
      </w:pPr>
      <w:r>
        <w:rPr>
          <w:color w:val="529ED7"/>
        </w:rPr>
        <w:t>3.7 Glosario operativo del Elemento 2</w:t>
      </w:r>
    </w:p>
    <w:p>
      <w:r>
        <w:br w:type="page"/>
      </w:r>
    </w:p>
    <w:p>
      <w:pPr>
        <w:spacing w:before="480" w:after="40"/>
      </w:pPr>
      <w:r>
        <w:rPr>
          <w:b/>
          <w:color w:val="787878"/>
          <w:sz w:val="18"/>
        </w:rPr>
        <w:t>CAPÍTULO 4 · EL CIERRE PROFESIONAL DEL PROYECTO</w:t>
      </w:r>
    </w:p>
    <w:p>
      <w:pPr>
        <w:pStyle w:val="Heading1"/>
        <w:spacing w:before="120" w:after="240"/>
      </w:pPr>
      <w:r>
        <w:rPr>
          <w:color w:val="28467E"/>
        </w:rPr>
        <w:t>Elemento 3 — Evaluar resultados e impacto de la implementación</w:t>
      </w:r>
    </w:p>
    <w:p>
      <w:pPr>
        <w:spacing w:after="360"/>
      </w:pPr>
      <w:r>
        <w:rPr>
          <w:i/>
          <w:color w:val="505050"/>
          <w:sz w:val="22"/>
        </w:rPr>
        <w:t>El proyecto termina cuando se mide lo logrado, se documenta lo aprendido y se entrega formalmente al cliente. Es el más corto en volumen pero exige el cuidado del cierre profesional.</w:t>
      </w:r>
    </w:p>
    <w:p>
      <w:pPr>
        <w:pStyle w:val="Heading2"/>
        <w:spacing w:before="360" w:after="120"/>
      </w:pPr>
      <w:r>
        <w:rPr>
          <w:color w:val="529ED7"/>
        </w:rPr>
        <w:t>4.1 Qué harás en este elemento</w:t>
      </w:r>
    </w:p>
    <w:p>
      <w:pPr>
        <w:spacing w:after="120" w:line="276" w:lineRule="auto"/>
      </w:pPr>
      <w:r>
        <w:t>Tras varias semanas de operación de las soluciones implementadas, tu trabajo se concentra en tres actividades:</w:t>
      </w:r>
    </w:p>
    <w:p>
      <w:pPr>
        <w:pStyle w:val="ListNumber"/>
        <w:spacing w:after="60" w:line="276" w:lineRule="auto"/>
      </w:pPr>
      <w:r>
        <w:rPr>
          <w:b/>
        </w:rPr>
      </w:r>
      <w:r>
        <w:t>Medir el desempeño</w:t>
      </w:r>
      <w:r>
        <w:t xml:space="preserve"> de las soluciones: comparar indicadores antes y después, estimar ROI, registrar incidencias y acciones correctivas.</w:t>
      </w:r>
    </w:p>
    <w:p>
      <w:pPr>
        <w:pStyle w:val="ListNumber"/>
        <w:spacing w:after="60" w:line="276" w:lineRule="auto"/>
      </w:pPr>
      <w:r>
        <w:rPr>
          <w:b/>
        </w:rPr>
      </w:r>
      <w:r>
        <w:t>Presentar los resultados</w:t>
      </w:r>
      <w:r>
        <w:t xml:space="preserve"> al emprendedor y responsables del proceso, recogiendo retroalimentación y obteniendo conformidad.</w:t>
      </w:r>
    </w:p>
    <w:p>
      <w:pPr>
        <w:pStyle w:val="ListNumber"/>
        <w:spacing w:after="60" w:line="276" w:lineRule="auto"/>
      </w:pPr>
      <w:r>
        <w:rPr>
          <w:b/>
        </w:rPr>
      </w:r>
      <w:r>
        <w:t>Elaborar el acta de cierre</w:t>
      </w:r>
      <w:r>
        <w:t xml:space="preserve"> del proyecto, con firmas, compromisos pendientes y datos de contacto para soporte futuro.</w:t>
      </w:r>
    </w:p>
    <w:p>
      <w:pPr>
        <w:pStyle w:val="Heading2"/>
        <w:spacing w:before="360" w:after="120"/>
      </w:pPr>
      <w:r>
        <w:rPr>
          <w:color w:val="529ED7"/>
        </w:rPr>
        <w:t>4.2 Cómo se te evaluará en este elemento</w:t>
      </w:r>
    </w:p>
    <w:tbl>
      <w:tblPr>
        <w:tblStyle w:val="TableGrid"/>
        <w:tblW w:type="auto" w:w="0"/>
        <w:tblLook w:firstColumn="1" w:firstRow="1" w:lastColumn="0" w:lastRow="0" w:noHBand="0" w:noVBand="1" w:val="04A0"/>
      </w:tblPr>
      <w:tblGrid>
        <w:gridCol w:w="2880"/>
        <w:gridCol w:w="2880"/>
        <w:gridCol w:w="2880"/>
      </w:tblGrid>
      <w:tr>
        <w:tc>
          <w:tcPr>
            <w:tcW w:type="dxa" w:w="2880"/>
            <w:shd w:fill="E5E7EB"/>
            <w:tcMar>
              <w:top w:w="100" w:type="dxa"/>
              <w:bottom w:w="100" w:type="dxa"/>
              <w:left w:w="120" w:type="dxa"/>
              <w:right w:w="120" w:type="dxa"/>
            </w:tcMar>
          </w:tcPr>
          <w:p>
            <w:pPr>
              <w:spacing w:after="40" w:line="240" w:lineRule="auto"/>
            </w:pPr>
            <w:r>
              <w:rPr>
                <w:b/>
              </w:rPr>
              <w:t>Tipo de evidencia</w:t>
            </w:r>
          </w:p>
        </w:tc>
        <w:tc>
          <w:tcPr>
            <w:tcW w:type="dxa" w:w="2880"/>
            <w:shd w:fill="E5E7EB"/>
            <w:tcMar>
              <w:top w:w="100" w:type="dxa"/>
              <w:bottom w:w="100" w:type="dxa"/>
              <w:left w:w="120" w:type="dxa"/>
              <w:right w:w="120" w:type="dxa"/>
            </w:tcMar>
          </w:tcPr>
          <w:p>
            <w:pPr>
              <w:spacing w:after="40" w:line="240" w:lineRule="auto"/>
            </w:pPr>
            <w:r>
              <w:rPr>
                <w:b/>
              </w:rPr>
              <w:t>Cuántos criterios</w:t>
            </w:r>
          </w:p>
        </w:tc>
        <w:tc>
          <w:tcPr>
            <w:tcW w:type="dxa" w:w="2880"/>
            <w:shd w:fill="E5E7EB"/>
            <w:tcMar>
              <w:top w:w="100" w:type="dxa"/>
              <w:bottom w:w="100" w:type="dxa"/>
              <w:left w:w="120" w:type="dxa"/>
              <w:right w:w="120" w:type="dxa"/>
            </w:tcMar>
          </w:tcPr>
          <w:p>
            <w:pPr>
              <w:spacing w:after="40" w:line="240" w:lineRule="auto"/>
            </w:pPr>
            <w:r>
              <w:rPr>
                <w:b/>
              </w:rPr>
              <w:t>Cómo se valora</w:t>
            </w:r>
          </w:p>
        </w:tc>
      </w:tr>
      <w:tr>
        <w:tc>
          <w:tcPr>
            <w:tcW w:type="dxa" w:w="2880"/>
            <w:tcMar>
              <w:top w:w="100" w:type="dxa"/>
              <w:bottom w:w="100" w:type="dxa"/>
              <w:left w:w="120" w:type="dxa"/>
              <w:right w:w="120" w:type="dxa"/>
            </w:tcMar>
          </w:tcPr>
          <w:p>
            <w:pPr>
              <w:spacing w:after="40" w:line="240" w:lineRule="auto"/>
            </w:pPr>
            <w:r>
              <w:rPr>
                <w:b/>
              </w:rPr>
            </w:r>
            <w:r>
              <w:t>Desempeño observable</w:t>
            </w:r>
          </w:p>
        </w:tc>
        <w:tc>
          <w:tcPr>
            <w:tcW w:type="dxa" w:w="2880"/>
            <w:tcMar>
              <w:top w:w="100" w:type="dxa"/>
              <w:bottom w:w="100" w:type="dxa"/>
              <w:left w:w="120" w:type="dxa"/>
              <w:right w:w="120" w:type="dxa"/>
            </w:tcMar>
          </w:tcPr>
          <w:p>
            <w:pPr>
              <w:spacing w:after="40" w:line="240" w:lineRule="auto"/>
            </w:pPr>
            <w:r>
              <w:t>1 desempeño con 8 características</w:t>
            </w:r>
          </w:p>
        </w:tc>
        <w:tc>
          <w:tcPr>
            <w:tcW w:type="dxa" w:w="2880"/>
            <w:tcMar>
              <w:top w:w="100" w:type="dxa"/>
              <w:bottom w:w="100" w:type="dxa"/>
              <w:left w:w="120" w:type="dxa"/>
              <w:right w:w="120" w:type="dxa"/>
            </w:tcMar>
          </w:tcPr>
          <w:p>
            <w:pPr>
              <w:spacing w:after="40" w:line="240" w:lineRule="auto"/>
            </w:pPr>
            <w:r>
              <w:t>Cómo presentas los resultados, recoges retroalimentación y obtienes conformidad.</w:t>
            </w:r>
          </w:p>
        </w:tc>
      </w:tr>
      <w:tr>
        <w:tc>
          <w:tcPr>
            <w:tcW w:type="dxa" w:w="2880"/>
            <w:tcMar>
              <w:top w:w="100" w:type="dxa"/>
              <w:bottom w:w="100" w:type="dxa"/>
              <w:left w:w="120" w:type="dxa"/>
              <w:right w:w="120" w:type="dxa"/>
            </w:tcMar>
          </w:tcPr>
          <w:p>
            <w:pPr>
              <w:spacing w:after="40" w:line="240" w:lineRule="auto"/>
            </w:pPr>
            <w:r>
              <w:rPr>
                <w:b/>
              </w:rPr>
            </w:r>
            <w:r>
              <w:t>Productos entregables</w:t>
            </w:r>
          </w:p>
        </w:tc>
        <w:tc>
          <w:tcPr>
            <w:tcW w:type="dxa" w:w="2880"/>
            <w:tcMar>
              <w:top w:w="100" w:type="dxa"/>
              <w:bottom w:w="100" w:type="dxa"/>
              <w:left w:w="120" w:type="dxa"/>
              <w:right w:w="120" w:type="dxa"/>
            </w:tcMar>
          </w:tcPr>
          <w:p>
            <w:pPr>
              <w:spacing w:after="40" w:line="240" w:lineRule="auto"/>
            </w:pPr>
            <w:r>
              <w:t>2 productos</w:t>
            </w:r>
          </w:p>
        </w:tc>
        <w:tc>
          <w:tcPr>
            <w:tcW w:type="dxa" w:w="2880"/>
            <w:tcMar>
              <w:top w:w="100" w:type="dxa"/>
              <w:bottom w:w="100" w:type="dxa"/>
              <w:left w:w="120" w:type="dxa"/>
              <w:right w:w="120" w:type="dxa"/>
            </w:tcMar>
          </w:tcPr>
          <w:p>
            <w:pPr>
              <w:spacing w:after="40" w:line="240" w:lineRule="auto"/>
            </w:pPr>
            <w:r>
              <w:t>Reporte de evaluación de resultados y acta de cierre.</w:t>
            </w:r>
          </w:p>
        </w:tc>
      </w:tr>
      <w:tr>
        <w:tc>
          <w:tcPr>
            <w:tcW w:type="dxa" w:w="2880"/>
            <w:tcMar>
              <w:top w:w="100" w:type="dxa"/>
              <w:bottom w:w="100" w:type="dxa"/>
              <w:left w:w="120" w:type="dxa"/>
              <w:right w:w="120" w:type="dxa"/>
            </w:tcMar>
          </w:tcPr>
          <w:p>
            <w:pPr>
              <w:spacing w:after="40" w:line="240" w:lineRule="auto"/>
            </w:pPr>
            <w:r>
              <w:rPr>
                <w:b/>
              </w:rPr>
            </w:r>
            <w:r>
              <w:t>Conocimientos</w:t>
            </w:r>
          </w:p>
        </w:tc>
        <w:tc>
          <w:tcPr>
            <w:tcW w:type="dxa" w:w="2880"/>
            <w:tcMar>
              <w:top w:w="100" w:type="dxa"/>
              <w:bottom w:w="100" w:type="dxa"/>
              <w:left w:w="120" w:type="dxa"/>
              <w:right w:w="120" w:type="dxa"/>
            </w:tcMar>
          </w:tcPr>
          <w:p>
            <w:pPr>
              <w:spacing w:after="40" w:line="240" w:lineRule="auto"/>
            </w:pPr>
            <w:r>
              <w:t>3 áreas (todas Comprensión)</w:t>
            </w:r>
          </w:p>
        </w:tc>
        <w:tc>
          <w:tcPr>
            <w:tcW w:type="dxa" w:w="2880"/>
            <w:tcMar>
              <w:top w:w="100" w:type="dxa"/>
              <w:bottom w:w="100" w:type="dxa"/>
              <w:left w:w="120" w:type="dxa"/>
              <w:right w:w="120" w:type="dxa"/>
            </w:tcMar>
          </w:tcPr>
          <w:p>
            <w:pPr>
              <w:spacing w:after="40" w:line="240" w:lineRule="auto"/>
            </w:pPr>
            <w:r>
              <w:t>Cuestionario sobre mejora continua, indicadores de adopción y gestión de cierre.</w:t>
            </w:r>
          </w:p>
        </w:tc>
      </w:tr>
      <w:tr>
        <w:tc>
          <w:tcPr>
            <w:tcW w:type="dxa" w:w="2880"/>
            <w:tcMar>
              <w:top w:w="100" w:type="dxa"/>
              <w:bottom w:w="100" w:type="dxa"/>
              <w:left w:w="120" w:type="dxa"/>
              <w:right w:w="120" w:type="dxa"/>
            </w:tcMar>
          </w:tcPr>
          <w:p>
            <w:pPr>
              <w:spacing w:after="40" w:line="240" w:lineRule="auto"/>
            </w:pPr>
            <w:r>
              <w:rPr>
                <w:b/>
              </w:rPr>
            </w:r>
            <w:r>
              <w:t>AHV</w:t>
            </w:r>
          </w:p>
        </w:tc>
        <w:tc>
          <w:tcPr>
            <w:tcW w:type="dxa" w:w="2880"/>
            <w:tcMar>
              <w:top w:w="100" w:type="dxa"/>
              <w:bottom w:w="100" w:type="dxa"/>
              <w:left w:w="120" w:type="dxa"/>
              <w:right w:w="120" w:type="dxa"/>
            </w:tcMar>
          </w:tcPr>
          <w:p>
            <w:pPr>
              <w:spacing w:after="40" w:line="240" w:lineRule="auto"/>
            </w:pPr>
            <w:r>
              <w:t>2 (Tolerancia, Perseverancia)</w:t>
            </w:r>
          </w:p>
        </w:tc>
        <w:tc>
          <w:tcPr>
            <w:tcW w:type="dxa" w:w="2880"/>
            <w:tcMar>
              <w:top w:w="100" w:type="dxa"/>
              <w:bottom w:w="100" w:type="dxa"/>
              <w:left w:w="120" w:type="dxa"/>
              <w:right w:w="120" w:type="dxa"/>
            </w:tcMar>
          </w:tcPr>
          <w:p>
            <w:pPr>
              <w:spacing w:after="40" w:line="240" w:lineRule="auto"/>
            </w:pPr>
            <w:r>
              <w:t>Observadas durante el desempeño.</w:t>
            </w:r>
          </w:p>
        </w:tc>
      </w:tr>
    </w:tbl>
    <w:p>
      <w:pPr>
        <w:spacing w:after="120"/>
      </w:pPr>
    </w:p>
    <w:p>
      <w:pPr>
        <w:pStyle w:val="Heading2"/>
        <w:spacing w:before="360" w:after="120"/>
      </w:pPr>
      <w:r>
        <w:rPr>
          <w:color w:val="529ED7"/>
        </w:rPr>
        <w:t>4.3 El desempeño del Elemento 3</w:t>
      </w:r>
    </w:p>
    <w:p>
      <w:pPr>
        <w:spacing w:after="120" w:line="276" w:lineRule="auto"/>
      </w:pPr>
      <w:r>
        <w:t>Antes de entrar al desempeño, conviene visualizar qué tipo de evidencia esperarás presentar al emprendedor. Aquí un ejemplo conceptual con tres indicadores de La Espiga:</w:t>
      </w:r>
    </w:p>
    <w:p>
      <w:pPr>
        <w:spacing w:after="120" w:line="276" w:lineRule="auto"/>
      </w:pPr>
      <w:r>
        <w:t xml:space="preserve">Ejemplo de cómo se vería tu reporte de evaluación de resultados. </w:t>
      </w:r>
      <w:r>
        <w:rPr>
          <w:b/>
        </w:rPr>
      </w:r>
      <w:r>
        <w:t>El ROI de La Espiga se expresa en horas liberadas y consultas atendidas</w:t>
      </w:r>
      <w:r>
        <w:t>, no necesariamente en pesos —válido para MiPyME pequeña.</w:t>
      </w:r>
    </w:p>
    <w:p>
      <w:pPr>
        <w:pStyle w:val="Heading3"/>
        <w:spacing w:before="240" w:after="80"/>
      </w:pPr>
      <w:r>
        <w:rPr>
          <w:color w:val="28467E"/>
        </w:rPr>
        <w:t>Desempeño 4.3.1 · Presenta los resultados ante el emprendedor</w:t>
      </w:r>
    </w:p>
    <w:p>
      <w:pPr>
        <w:spacing w:after="120" w:line="276" w:lineRule="auto"/>
      </w:pPr>
      <w:r>
        <w:t xml:space="preserve">Es la sesión final del proyecto. El evaluador presenciará cómo presentas los resultados, recoges retroalimentación y cierras formalmente con el cliente. </w:t>
      </w:r>
      <w:r>
        <w:rPr>
          <w:b/>
        </w:rPr>
      </w:r>
      <w:r>
        <w:t>8 características:</w:t>
      </w:r>
    </w:p>
    <w:p>
      <w:pPr>
        <w:pStyle w:val="Heading2"/>
        <w:spacing w:before="360" w:after="120"/>
      </w:pPr>
      <w:r>
        <w:rPr>
          <w:color w:val="529ED7"/>
        </w:rPr>
        <w:t>4.4 Los 2 productos del Elemento 3</w:t>
      </w:r>
    </w:p>
    <w:p>
      <w:pPr>
        <w:pStyle w:val="Heading2"/>
        <w:spacing w:before="360" w:after="120"/>
      </w:pPr>
      <w:r>
        <w:rPr>
          <w:color w:val="529ED7"/>
        </w:rPr>
        <w:t>4.5 Los 3 conocimientos del Elemento 3</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Área de conocimiento</w:t>
            </w:r>
          </w:p>
        </w:tc>
        <w:tc>
          <w:tcPr>
            <w:tcW w:type="dxa" w:w="4320"/>
            <w:shd w:fill="E5E7EB"/>
            <w:tcMar>
              <w:top w:w="100" w:type="dxa"/>
              <w:bottom w:w="100" w:type="dxa"/>
              <w:left w:w="120" w:type="dxa"/>
              <w:right w:w="120" w:type="dxa"/>
            </w:tcMar>
          </w:tcPr>
          <w:p>
            <w:pPr>
              <w:spacing w:after="40" w:line="240" w:lineRule="auto"/>
            </w:pPr>
            <w:r>
              <w:rPr>
                <w:b/>
              </w:rPr>
              <w:t>Nivel</w:t>
            </w:r>
          </w:p>
        </w:tc>
      </w:tr>
      <w:tr>
        <w:tc>
          <w:tcPr>
            <w:tcW w:type="dxa" w:w="4320"/>
            <w:tcMar>
              <w:top w:w="100" w:type="dxa"/>
              <w:bottom w:w="100" w:type="dxa"/>
              <w:left w:w="120" w:type="dxa"/>
              <w:right w:w="120" w:type="dxa"/>
            </w:tcMar>
          </w:tcPr>
          <w:p>
            <w:pPr>
              <w:spacing w:after="40" w:line="240" w:lineRule="auto"/>
            </w:pPr>
            <w:r>
              <w:t>Metodologías de mejora continua (ciclo PDCA, identificación de oportunidades de optimización)</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Indicadores de adopción tecnológica (medición de uso, factores de adopción o rechazo)</w:t>
            </w:r>
          </w:p>
        </w:tc>
        <w:tc>
          <w:tcPr>
            <w:tcW w:type="dxa" w:w="4320"/>
            <w:tcMar>
              <w:top w:w="100" w:type="dxa"/>
              <w:bottom w:w="100" w:type="dxa"/>
              <w:left w:w="120" w:type="dxa"/>
              <w:right w:w="120" w:type="dxa"/>
            </w:tcMar>
          </w:tcPr>
          <w:p>
            <w:pPr>
              <w:spacing w:after="40" w:line="240" w:lineRule="auto"/>
            </w:pPr>
            <w:r>
              <w:t>Comprensión</w:t>
            </w:r>
          </w:p>
        </w:tc>
      </w:tr>
      <w:tr>
        <w:tc>
          <w:tcPr>
            <w:tcW w:type="dxa" w:w="4320"/>
            <w:tcMar>
              <w:top w:w="100" w:type="dxa"/>
              <w:bottom w:w="100" w:type="dxa"/>
              <w:left w:w="120" w:type="dxa"/>
              <w:right w:w="120" w:type="dxa"/>
            </w:tcMar>
          </w:tcPr>
          <w:p>
            <w:pPr>
              <w:spacing w:after="40" w:line="240" w:lineRule="auto"/>
            </w:pPr>
            <w:r>
              <w:t>Gestión de proyectos de implementación tecnológica (documentación de cierre, lecciones aprendidas, transferencia)</w:t>
            </w:r>
          </w:p>
        </w:tc>
        <w:tc>
          <w:tcPr>
            <w:tcW w:type="dxa" w:w="4320"/>
            <w:tcMar>
              <w:top w:w="100" w:type="dxa"/>
              <w:bottom w:w="100" w:type="dxa"/>
              <w:left w:w="120" w:type="dxa"/>
              <w:right w:w="120" w:type="dxa"/>
            </w:tcMar>
          </w:tcPr>
          <w:p>
            <w:pPr>
              <w:spacing w:after="40" w:line="240" w:lineRule="auto"/>
            </w:pPr>
            <w:r>
              <w:t>Comprensión</w:t>
            </w:r>
          </w:p>
        </w:tc>
      </w:tr>
    </w:tbl>
    <w:p>
      <w:pPr>
        <w:spacing w:after="120"/>
      </w:pPr>
    </w:p>
    <w:p>
      <w:pPr>
        <w:pStyle w:val="Heading2"/>
        <w:spacing w:before="360" w:after="120"/>
      </w:pPr>
      <w:r>
        <w:rPr>
          <w:color w:val="529ED7"/>
        </w:rPr>
        <w:t>4.6 Tolerancia y Perseverancia (AHV)</w:t>
      </w:r>
    </w:p>
    <w:tbl>
      <w:tblPr>
        <w:tblStyle w:val="TableGrid"/>
        <w:tblW w:type="auto" w:w="0"/>
        <w:tblLook w:firstColumn="1" w:firstRow="1" w:lastColumn="0" w:lastRow="0" w:noHBand="0" w:noVBand="1" w:val="04A0"/>
      </w:tblPr>
      <w:tblGrid>
        <w:gridCol w:w="4320"/>
        <w:gridCol w:w="4320"/>
      </w:tblGrid>
      <w:tr>
        <w:tc>
          <w:tcPr>
            <w:tcW w:type="dxa" w:w="4320"/>
            <w:shd w:fill="E5E7EB"/>
            <w:tcMar>
              <w:top w:w="100" w:type="dxa"/>
              <w:bottom w:w="100" w:type="dxa"/>
              <w:left w:w="120" w:type="dxa"/>
              <w:right w:w="120" w:type="dxa"/>
            </w:tcMar>
          </w:tcPr>
          <w:p>
            <w:pPr>
              <w:spacing w:after="40" w:line="240" w:lineRule="auto"/>
            </w:pPr>
            <w:r>
              <w:rPr>
                <w:b/>
              </w:rPr>
              <w:t>AHV</w:t>
            </w:r>
          </w:p>
        </w:tc>
        <w:tc>
          <w:tcPr>
            <w:tcW w:type="dxa" w:w="4320"/>
            <w:shd w:fill="E5E7EB"/>
            <w:tcMar>
              <w:top w:w="100" w:type="dxa"/>
              <w:bottom w:w="100" w:type="dxa"/>
              <w:left w:w="120" w:type="dxa"/>
              <w:right w:w="120" w:type="dxa"/>
            </w:tcMar>
          </w:tcPr>
          <w:p>
            <w:pPr>
              <w:spacing w:after="40" w:line="240" w:lineRule="auto"/>
            </w:pPr>
            <w:r>
              <w:rPr>
                <w:b/>
              </w:rPr>
              <w:t>Definición conforme al F21</w:t>
            </w:r>
          </w:p>
        </w:tc>
      </w:tr>
      <w:tr>
        <w:tc>
          <w:tcPr>
            <w:tcW w:type="dxa" w:w="4320"/>
            <w:tcMar>
              <w:top w:w="100" w:type="dxa"/>
              <w:bottom w:w="100" w:type="dxa"/>
              <w:left w:w="120" w:type="dxa"/>
              <w:right w:w="120" w:type="dxa"/>
            </w:tcMar>
          </w:tcPr>
          <w:p>
            <w:pPr>
              <w:spacing w:after="40" w:line="240" w:lineRule="auto"/>
            </w:pPr>
            <w:r>
              <w:rPr>
                <w:b/>
              </w:rPr>
            </w:r>
            <w:r>
              <w:t>Tolerancia</w:t>
            </w:r>
          </w:p>
        </w:tc>
        <w:tc>
          <w:tcPr>
            <w:tcW w:type="dxa" w:w="4320"/>
            <w:tcMar>
              <w:top w:w="100" w:type="dxa"/>
              <w:bottom w:w="100" w:type="dxa"/>
              <w:left w:w="120" w:type="dxa"/>
              <w:right w:w="120" w:type="dxa"/>
            </w:tcMar>
          </w:tcPr>
          <w:p>
            <w:pPr>
              <w:spacing w:after="40" w:line="240" w:lineRule="auto"/>
            </w:pPr>
            <w:r>
              <w:t>La manera en que escuchas y atiendes la retroalimentación del emprendedor y responsables de la MiPyME respecto a las dificultades presentadas durante la operación.</w:t>
            </w:r>
          </w:p>
        </w:tc>
      </w:tr>
      <w:tr>
        <w:tc>
          <w:tcPr>
            <w:tcW w:type="dxa" w:w="4320"/>
            <w:tcMar>
              <w:top w:w="100" w:type="dxa"/>
              <w:bottom w:w="100" w:type="dxa"/>
              <w:left w:w="120" w:type="dxa"/>
              <w:right w:w="120" w:type="dxa"/>
            </w:tcMar>
          </w:tcPr>
          <w:p>
            <w:pPr>
              <w:spacing w:after="40" w:line="240" w:lineRule="auto"/>
            </w:pPr>
            <w:r>
              <w:rPr>
                <w:b/>
              </w:rPr>
            </w:r>
            <w:r>
              <w:t>Perseverancia</w:t>
            </w:r>
          </w:p>
        </w:tc>
        <w:tc>
          <w:tcPr>
            <w:tcW w:type="dxa" w:w="4320"/>
            <w:tcMar>
              <w:top w:w="100" w:type="dxa"/>
              <w:bottom w:w="100" w:type="dxa"/>
              <w:left w:w="120" w:type="dxa"/>
              <w:right w:w="120" w:type="dxa"/>
            </w:tcMar>
          </w:tcPr>
          <w:p>
            <w:pPr>
              <w:spacing w:after="40" w:line="240" w:lineRule="auto"/>
            </w:pPr>
            <w:r>
              <w:t>La manera en que das seguimiento continuo a las incidencias y acciones correctivas hasta verificar que las soluciones operen de acuerdo con los resultados esperados.</w:t>
            </w:r>
          </w:p>
        </w:tc>
      </w:tr>
    </w:tbl>
    <w:p>
      <w:pPr>
        <w:spacing w:after="120"/>
      </w:pPr>
    </w:p>
    <w:p>
      <w:pPr>
        <w:spacing w:after="120" w:line="276" w:lineRule="auto"/>
      </w:pPr>
      <w:r>
        <w:t xml:space="preserve">La </w:t>
      </w:r>
      <w:r>
        <w:rPr>
          <w:b/>
        </w:rPr>
      </w:r>
      <w:r>
        <w:t>Tolerancia</w:t>
      </w:r>
      <w:r>
        <w:t xml:space="preserve"> se aprecia en cómo recibes las observaciones críticas del cliente, sin defensividad ni excusas. La </w:t>
      </w:r>
      <w:r>
        <w:rPr>
          <w:b/>
        </w:rPr>
      </w:r>
      <w:r>
        <w:t>Perseverancia</w:t>
      </w:r>
      <w:r>
        <w:t xml:space="preserve"> se aprecia en si las incidencias documentadas tuvieron seguimiento hasta su resolución, no si se cerraron prematuramente.</w:t>
      </w:r>
    </w:p>
    <w:p>
      <w:pPr>
        <w:pStyle w:val="Heading2"/>
        <w:spacing w:before="360" w:after="120"/>
      </w:pPr>
      <w:r>
        <w:rPr>
          <w:color w:val="529ED7"/>
        </w:rPr>
        <w:t>4.7 Glosario operativo del Elemento 3</w:t>
      </w:r>
    </w:p>
    <w:p>
      <w:r>
        <w:br w:type="page"/>
      </w:r>
    </w:p>
    <w:p>
      <w:pPr>
        <w:spacing w:before="480" w:after="40"/>
      </w:pPr>
      <w:r>
        <w:rPr>
          <w:b/>
          <w:color w:val="787878"/>
          <w:sz w:val="18"/>
        </w:rPr>
        <w:t>CAPÍTULO 5 · MECÁNICA DEL IEC</w:t>
      </w:r>
    </w:p>
    <w:p>
      <w:pPr>
        <w:pStyle w:val="Heading1"/>
        <w:spacing w:before="120" w:after="240"/>
      </w:pPr>
      <w:r>
        <w:rPr>
          <w:color w:val="28467E"/>
        </w:rPr>
        <w:t>Cómo se aplica el Instrumento de Evaluación</w:t>
      </w:r>
    </w:p>
    <w:p>
      <w:pPr>
        <w:spacing w:after="360"/>
      </w:pPr>
      <w:r>
        <w:rPr>
          <w:i/>
          <w:color w:val="505050"/>
          <w:sz w:val="22"/>
        </w:rPr>
        <w:t>126 reactivos · 100.17 puntos totales · Tres pesos de ponderación · AHV con valores negativos · Opción de Evidencia Histórica para 13 productos. Conocer la mecánica del IEC te permite anticipar el ritmo de la sesión y aprovechar la facilidad de presentar productos previos.</w:t>
      </w:r>
    </w:p>
    <w:p>
      <w:pPr>
        <w:pStyle w:val="Heading2"/>
        <w:spacing w:before="360" w:after="120"/>
      </w:pPr>
      <w:r>
        <w:rPr>
          <w:color w:val="529ED7"/>
        </w:rPr>
        <w:t>5.1 Estructura del Instrumento de Evaluación de Competencia</w:t>
      </w:r>
    </w:p>
    <w:p>
      <w:pPr>
        <w:spacing w:after="120" w:line="276" w:lineRule="auto"/>
      </w:pPr>
      <w:r>
        <w:t>El IEC del Estándar A se compone de tres tipos de instrumentos que tu evaluador aplicará a lo largo del proceso. Cada uno está diseñado para captar un tipo distinto de evidencia.</w:t>
      </w:r>
    </w:p>
    <w:tbl>
      <w:tblPr>
        <w:tblStyle w:val="TableGrid"/>
        <w:tblW w:type="auto" w:w="0"/>
        <w:tblLook w:firstColumn="1" w:firstRow="1" w:lastColumn="0" w:lastRow="0" w:noHBand="0" w:noVBand="1" w:val="04A0"/>
      </w:tblPr>
      <w:tblGrid>
        <w:gridCol w:w="2880"/>
        <w:gridCol w:w="2880"/>
        <w:gridCol w:w="2880"/>
      </w:tblGrid>
      <w:tr>
        <w:tc>
          <w:tcPr>
            <w:tcW w:type="dxa" w:w="2880"/>
            <w:shd w:fill="E5E7EB"/>
            <w:tcMar>
              <w:top w:w="100" w:type="dxa"/>
              <w:bottom w:w="100" w:type="dxa"/>
              <w:left w:w="120" w:type="dxa"/>
              <w:right w:w="120" w:type="dxa"/>
            </w:tcMar>
          </w:tcPr>
          <w:p>
            <w:pPr>
              <w:spacing w:after="40" w:line="240" w:lineRule="auto"/>
            </w:pPr>
            <w:r>
              <w:rPr>
                <w:b/>
              </w:rPr>
              <w:t>Instrumento</w:t>
            </w:r>
          </w:p>
        </w:tc>
        <w:tc>
          <w:tcPr>
            <w:tcW w:type="dxa" w:w="2880"/>
            <w:shd w:fill="E5E7EB"/>
            <w:tcMar>
              <w:top w:w="100" w:type="dxa"/>
              <w:bottom w:w="100" w:type="dxa"/>
              <w:left w:w="120" w:type="dxa"/>
              <w:right w:w="120" w:type="dxa"/>
            </w:tcMar>
          </w:tcPr>
          <w:p>
            <w:pPr>
              <w:spacing w:after="40" w:line="240" w:lineRule="auto"/>
            </w:pPr>
            <w:r>
              <w:rPr>
                <w:b/>
              </w:rPr>
              <w:t>Qué recoge</w:t>
            </w:r>
          </w:p>
        </w:tc>
        <w:tc>
          <w:tcPr>
            <w:tcW w:type="dxa" w:w="2880"/>
            <w:shd w:fill="E5E7EB"/>
            <w:tcMar>
              <w:top w:w="100" w:type="dxa"/>
              <w:bottom w:w="100" w:type="dxa"/>
              <w:left w:w="120" w:type="dxa"/>
              <w:right w:w="120" w:type="dxa"/>
            </w:tcMar>
          </w:tcPr>
          <w:p>
            <w:pPr>
              <w:spacing w:after="40" w:line="240" w:lineRule="auto"/>
            </w:pPr>
            <w:r>
              <w:rPr>
                <w:b/>
              </w:rPr>
              <w:t>Reactivos</w:t>
            </w:r>
          </w:p>
        </w:tc>
      </w:tr>
      <w:tr>
        <w:tc>
          <w:tcPr>
            <w:tcW w:type="dxa" w:w="2880"/>
            <w:tcMar>
              <w:top w:w="100" w:type="dxa"/>
              <w:bottom w:w="100" w:type="dxa"/>
              <w:left w:w="120" w:type="dxa"/>
              <w:right w:w="120" w:type="dxa"/>
            </w:tcMar>
          </w:tcPr>
          <w:p>
            <w:pPr>
              <w:spacing w:after="40" w:line="240" w:lineRule="auto"/>
            </w:pPr>
            <w:r>
              <w:rPr>
                <w:b/>
              </w:rPr>
            </w:r>
            <w:r>
              <w:t>Guías de Observación</w:t>
            </w:r>
          </w:p>
        </w:tc>
        <w:tc>
          <w:tcPr>
            <w:tcW w:type="dxa" w:w="2880"/>
            <w:tcMar>
              <w:top w:w="100" w:type="dxa"/>
              <w:bottom w:w="100" w:type="dxa"/>
              <w:left w:w="120" w:type="dxa"/>
              <w:right w:w="120" w:type="dxa"/>
            </w:tcMar>
          </w:tcPr>
          <w:p>
            <w:pPr>
              <w:spacing w:after="40" w:line="240" w:lineRule="auto"/>
            </w:pPr>
            <w:r>
              <w:t>Desempeños observables en situaciones reales o simuladas. El evaluador registra si cumples con cada reactivo a partir de lo que observa.</w:t>
            </w:r>
          </w:p>
        </w:tc>
        <w:tc>
          <w:tcPr>
            <w:tcW w:type="dxa" w:w="2880"/>
            <w:tcMar>
              <w:top w:w="100" w:type="dxa"/>
              <w:bottom w:w="100" w:type="dxa"/>
              <w:left w:w="120" w:type="dxa"/>
              <w:right w:w="120" w:type="dxa"/>
            </w:tcMar>
          </w:tcPr>
          <w:p>
            <w:pPr>
              <w:spacing w:after="40" w:line="240" w:lineRule="auto"/>
            </w:pPr>
            <w:r>
              <w:t xml:space="preserve">4 guías · </w:t>
            </w:r>
            <w:r>
              <w:rPr>
                <w:b/>
              </w:rPr>
            </w:r>
            <w:r>
              <w:t>35 reactivos</w:t>
            </w:r>
          </w:p>
        </w:tc>
      </w:tr>
      <w:tr>
        <w:tc>
          <w:tcPr>
            <w:tcW w:type="dxa" w:w="2880"/>
            <w:tcMar>
              <w:top w:w="100" w:type="dxa"/>
              <w:bottom w:w="100" w:type="dxa"/>
              <w:left w:w="120" w:type="dxa"/>
              <w:right w:w="120" w:type="dxa"/>
            </w:tcMar>
          </w:tcPr>
          <w:p>
            <w:pPr>
              <w:spacing w:after="40" w:line="240" w:lineRule="auto"/>
            </w:pPr>
            <w:r>
              <w:rPr>
                <w:b/>
              </w:rPr>
            </w:r>
            <w:r>
              <w:t>Listas de Cotejo</w:t>
            </w:r>
          </w:p>
        </w:tc>
        <w:tc>
          <w:tcPr>
            <w:tcW w:type="dxa" w:w="2880"/>
            <w:tcMar>
              <w:top w:w="100" w:type="dxa"/>
              <w:bottom w:w="100" w:type="dxa"/>
              <w:left w:w="120" w:type="dxa"/>
              <w:right w:w="120" w:type="dxa"/>
            </w:tcMar>
          </w:tcPr>
          <w:p>
            <w:pPr>
              <w:spacing w:after="40" w:line="240" w:lineRule="auto"/>
            </w:pPr>
            <w:r>
              <w:t>Productos entregables. Para cada producto, el evaluador verifica si las características del F21 están presentes y cumplen.</w:t>
            </w:r>
          </w:p>
        </w:tc>
        <w:tc>
          <w:tcPr>
            <w:tcW w:type="dxa" w:w="2880"/>
            <w:tcMar>
              <w:top w:w="100" w:type="dxa"/>
              <w:bottom w:w="100" w:type="dxa"/>
              <w:left w:w="120" w:type="dxa"/>
              <w:right w:w="120" w:type="dxa"/>
            </w:tcMar>
          </w:tcPr>
          <w:p>
            <w:pPr>
              <w:spacing w:after="40" w:line="240" w:lineRule="auto"/>
            </w:pPr>
            <w:r>
              <w:t xml:space="preserve">4 listas · </w:t>
            </w:r>
            <w:r>
              <w:rPr>
                <w:b/>
              </w:rPr>
            </w:r>
            <w:r>
              <w:t>77 reactivos</w:t>
            </w:r>
          </w:p>
        </w:tc>
      </w:tr>
      <w:tr>
        <w:tc>
          <w:tcPr>
            <w:tcW w:type="dxa" w:w="2880"/>
            <w:tcMar>
              <w:top w:w="100" w:type="dxa"/>
              <w:bottom w:w="100" w:type="dxa"/>
              <w:left w:w="120" w:type="dxa"/>
              <w:right w:w="120" w:type="dxa"/>
            </w:tcMar>
          </w:tcPr>
          <w:p>
            <w:pPr>
              <w:spacing w:after="40" w:line="240" w:lineRule="auto"/>
            </w:pPr>
            <w:r>
              <w:rPr>
                <w:b/>
              </w:rPr>
            </w:r>
            <w:r>
              <w:t>Cuestionarios</w:t>
            </w:r>
          </w:p>
        </w:tc>
        <w:tc>
          <w:tcPr>
            <w:tcW w:type="dxa" w:w="2880"/>
            <w:tcMar>
              <w:top w:w="100" w:type="dxa"/>
              <w:bottom w:w="100" w:type="dxa"/>
              <w:left w:w="120" w:type="dxa"/>
              <w:right w:w="120" w:type="dxa"/>
            </w:tcMar>
          </w:tcPr>
          <w:p>
            <w:pPr>
              <w:spacing w:after="40" w:line="240" w:lineRule="auto"/>
            </w:pPr>
            <w:r>
              <w:t>Conocimientos. Preguntas que verifican el dominio aplicado de los conocimientos exigidos.</w:t>
            </w:r>
          </w:p>
        </w:tc>
        <w:tc>
          <w:tcPr>
            <w:tcW w:type="dxa" w:w="2880"/>
            <w:tcMar>
              <w:top w:w="100" w:type="dxa"/>
              <w:bottom w:w="100" w:type="dxa"/>
              <w:left w:w="120" w:type="dxa"/>
              <w:right w:w="120" w:type="dxa"/>
            </w:tcMar>
          </w:tcPr>
          <w:p>
            <w:pPr>
              <w:spacing w:after="40" w:line="240" w:lineRule="auto"/>
            </w:pPr>
            <w:r>
              <w:t xml:space="preserve">3 cuestionarios · </w:t>
            </w:r>
            <w:r>
              <w:rPr>
                <w:b/>
              </w:rPr>
            </w:r>
            <w:r>
              <w:t>14 reactivos</w:t>
            </w:r>
          </w:p>
        </w:tc>
      </w:tr>
    </w:tbl>
    <w:p>
      <w:pPr>
        <w:spacing w:after="120"/>
      </w:pPr>
    </w:p>
    <w:p>
      <w:pPr>
        <w:spacing w:after="120" w:line="276" w:lineRule="auto"/>
      </w:pPr>
      <w:r>
        <w:t xml:space="preserve">Los tres instrumentos suman </w:t>
      </w:r>
      <w:r>
        <w:rPr>
          <w:b/>
        </w:rPr>
      </w:r>
      <w:r>
        <w:t>126 reactivos</w:t>
      </w:r>
      <w:r>
        <w:t>. No todos pesan lo mismo:</w:t>
      </w:r>
    </w:p>
    <w:p>
      <w:pPr>
        <w:pStyle w:val="Heading3"/>
        <w:spacing w:before="240" w:after="80"/>
      </w:pPr>
      <w:r>
        <w:rPr>
          <w:color w:val="28467E"/>
        </w:rPr>
        <w:t>Ponderación de los reactivos</w:t>
      </w:r>
    </w:p>
    <w:p>
      <w:pPr>
        <w:pStyle w:val="ListBullet"/>
        <w:spacing w:after="60" w:line="276" w:lineRule="auto"/>
      </w:pPr>
      <w:r>
        <w:rPr>
          <w:b/>
        </w:rPr>
      </w:r>
      <w:r>
        <w:t>Peso menor:</w:t>
      </w:r>
      <w:r>
        <w:t xml:space="preserve"> 59 reactivos × 0.32 puntos cada uno = 18.88 pts</w:t>
      </w:r>
    </w:p>
    <w:p>
      <w:pPr>
        <w:pStyle w:val="ListBullet"/>
        <w:spacing w:after="60" w:line="276" w:lineRule="auto"/>
      </w:pPr>
      <w:r>
        <w:rPr>
          <w:b/>
        </w:rPr>
      </w:r>
      <w:r>
        <w:t>Peso medio:</w:t>
      </w:r>
      <w:r>
        <w:t xml:space="preserve"> 46 reactivos × 0.62 puntos cada uno = 28.52 pts</w:t>
      </w:r>
    </w:p>
    <w:p>
      <w:pPr>
        <w:pStyle w:val="ListBullet"/>
        <w:spacing w:after="60" w:line="276" w:lineRule="auto"/>
      </w:pPr>
      <w:r>
        <w:rPr>
          <w:b/>
        </w:rPr>
      </w:r>
      <w:r>
        <w:t>Peso mayor:</w:t>
      </w:r>
      <w:r>
        <w:t xml:space="preserve"> 15 reactivos × 3.33 puntos cada uno = 49.95 pts (las características más críticas)</w:t>
      </w:r>
    </w:p>
    <w:p>
      <w:pPr>
        <w:spacing w:after="120" w:line="276" w:lineRule="auto"/>
      </w:pPr>
      <w:r>
        <w:t xml:space="preserve">Total máximo posible: </w:t>
      </w:r>
      <w:r>
        <w:rPr>
          <w:b/>
        </w:rPr>
      </w:r>
      <w:r>
        <w:t>~100.17 puntos</w:t>
      </w:r>
      <w:r>
        <w:t xml:space="preserve"> (el excedente sobre 100 se origina por el uso de decimales en cada reactivo).</w:t>
      </w:r>
    </w:p>
    <w:p>
      <w:pPr>
        <w:spacing w:after="120" w:line="276" w:lineRule="auto"/>
      </w:pPr>
      <w:r>
        <w:t xml:space="preserve">Asimetría clave: los </w:t>
      </w:r>
      <w:r>
        <w:rPr>
          <w:b/>
        </w:rPr>
      </w:r>
      <w:r>
        <w:t>15 reactivos de peso mayor</w:t>
      </w:r>
      <w:r>
        <w:t xml:space="preserve"> (12% de los reactivos) aportan el </w:t>
      </w:r>
      <w:r>
        <w:rPr>
          <w:b/>
        </w:rPr>
      </w:r>
      <w:r>
        <w:t>50% del puntaje</w:t>
      </w:r>
      <w:r>
        <w:t>. Identificarlos y prepararlos con prioridad es la mejor inversión de tu tiempo.</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Importante · AHV en negativo: </w:t>
            </w:r>
            <w:r>
              <w:t>Las actitudes/hábitos/valores se evalúan de maneranegativa: no suman al puntaje, peroRESTANsi no las demuestras. Seis reactivos del IEC corresponden a AHV: tres con valor−0.32y tres con valor−0.62. En la práctica, demostrar AHV es la norma; lo evaluado essi no lo haces. La falta de AHV puede penalizar significativamente tu resultado.</w:t>
            </w:r>
          </w:p>
        </w:tc>
      </w:tr>
    </w:tbl>
    <w:p>
      <w:pPr>
        <w:spacing w:after="120"/>
      </w:pPr>
    </w:p>
    <w:p>
      <w:pPr>
        <w:pStyle w:val="Heading2"/>
        <w:spacing w:before="360" w:after="120"/>
      </w:pPr>
      <w:r>
        <w:rPr>
          <w:color w:val="529ED7"/>
        </w:rPr>
        <w:t>5.2 Evidencia Histórica</w:t>
      </w:r>
    </w:p>
    <w:p>
      <w:pPr>
        <w:spacing w:after="120" w:line="276" w:lineRule="auto"/>
      </w:pPr>
      <w:r>
        <w:t xml:space="preserve">El IEC del Estándar A permite explícitamente que los productos del proyecto se presenten al evaluador como </w:t>
      </w:r>
      <w:r>
        <w:rPr>
          <w:b/>
        </w:rPr>
      </w:r>
      <w:r>
        <w:t>Evidencia Histórica</w:t>
      </w:r>
      <w:r>
        <w:t xml:space="preserve">. Esto significa que los productos pueden provenir de consultorías que ya ejecutaste en el pasado, </w:t>
      </w:r>
      <w:r>
        <w:rPr>
          <w:b/>
        </w:rPr>
      </w:r>
      <w:r>
        <w:t>no necesariamente de un proyecto que se realice durante la propia evaluación</w:t>
      </w:r>
      <w:r>
        <w:t>. Es una facilidad importante para quienes ya tienen trayectoria.</w:t>
      </w:r>
    </w:p>
    <w:p>
      <w:pPr>
        <w:pStyle w:val="Heading3"/>
        <w:spacing w:before="240" w:after="80"/>
      </w:pPr>
      <w:r>
        <w:rPr>
          <w:color w:val="28467E"/>
        </w:rPr>
        <w:t>Qué productos pueden presentarse como Evidencia Histórica</w:t>
      </w:r>
    </w:p>
    <w:p>
      <w:pPr>
        <w:spacing w:after="120" w:line="276" w:lineRule="auto"/>
      </w:pPr>
      <w:r>
        <w:t xml:space="preserve">Los </w:t>
      </w:r>
      <w:r>
        <w:rPr>
          <w:b/>
        </w:rPr>
      </w:r>
      <w:r>
        <w:t>trece productos siguientes</w:t>
      </w:r>
      <w:r>
        <w:t xml:space="preserve"> pueden presentarse como evidencia de consultorías previas:</w:t>
      </w:r>
    </w:p>
    <w:p>
      <w:pPr>
        <w:pStyle w:val="Heading3"/>
        <w:spacing w:before="240" w:after="80"/>
      </w:pPr>
      <w:r>
        <w:rPr>
          <w:color w:val="28467E"/>
        </w:rPr>
        <w:t>Cómo se verifica la autenticidad</w:t>
      </w:r>
    </w:p>
    <w:p>
      <w:pPr>
        <w:spacing w:after="120" w:line="276" w:lineRule="auto"/>
      </w:pPr>
      <w:r>
        <w:t xml:space="preserve">Para usar productos como Evidencia Histórica, el evaluador aplica un procedimiento de verificación </w:t>
      </w:r>
      <w:r>
        <w:rPr>
          <w:b/>
        </w:rPr>
      </w:r>
      <w:r>
        <w:t>antes</w:t>
      </w:r>
      <w:r>
        <w:t xml:space="preserve"> de revisarlos contra las listas de cotejo:</w:t>
      </w:r>
    </w:p>
    <w:p>
      <w:pPr>
        <w:spacing w:after="120" w:line="276" w:lineRule="auto"/>
      </w:pPr>
      <w:r>
        <w:t>Solo después de aplicar el Anexo 4 y completar el Anexo 5, el evaluador procede a revisar el producto histórico contra las características del F21 que correspondan.</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Para tener presente: </w:t>
            </w:r>
            <w:r>
              <w:t>Si cuentas con proyectos previos completos y bien documentados, la Evidencia Históricapuede simplificar enormemente tu preparación: en lugar de elaborar productos nuevos, presentas los que ya tienes. Pero la verificación es rigurosa: el evaluador querrá ver documentos con fechas, firmas y trazas verificables de tu autoría.Documentos fabricados ad hoc se detectan con facilidad y comprometen el dictamen.Si la consultoría histórica no produjo formalmente alguno de los productos exigidos —por ejemplo, nunca formalizaron un acuerdo de confidencialidad— tienes dos opciones: elaborar el producto faltantede manera retrospectiva con el cliente real(y obtener firma actual), o presentar un proyecto distinto en el que sí cuentes con todos los productos. Inventar firmas o fabricar documentos retroactivos sin la participación del cliente real esinadmisible.Para evaluaciones aplicadas en línea, tu evaluador podrá pedirte que registres tus respuestas al cuestionario de conocimientos en elAnexo 6 del IEC, una hoja de respuestas del candidato.No hay tiempo límitepara resolver el cuestionario.</w:t>
            </w:r>
          </w:p>
        </w:tc>
      </w:tr>
    </w:tbl>
    <w:p>
      <w:pPr>
        <w:spacing w:after="120"/>
      </w:pPr>
    </w:p>
    <w:p>
      <w:pPr>
        <w:pStyle w:val="ListBullet"/>
        <w:spacing w:after="60" w:line="276" w:lineRule="auto"/>
      </w:pPr>
      <w:r>
        <w:t>Reporte de evaluación inicial de la MiPyME</w:t>
      </w:r>
    </w:p>
    <w:p>
      <w:pPr>
        <w:pStyle w:val="ListBullet"/>
        <w:spacing w:after="60" w:line="276" w:lineRule="auto"/>
      </w:pPr>
      <w:r>
        <w:t>Informe de disponibilidad y calidad de los datos</w:t>
      </w:r>
    </w:p>
    <w:p>
      <w:pPr>
        <w:pStyle w:val="ListBullet"/>
        <w:spacing w:after="60" w:line="276" w:lineRule="auto"/>
      </w:pPr>
      <w:r>
        <w:t>Informe de diagnóstico de procesos, actividades y áreas de trabajo</w:t>
      </w:r>
    </w:p>
    <w:p>
      <w:pPr>
        <w:pStyle w:val="ListBullet"/>
        <w:spacing w:after="60" w:line="276" w:lineRule="auto"/>
      </w:pPr>
      <w:r>
        <w:t>Reporte de madurez digital y disposición al cambio</w:t>
      </w:r>
    </w:p>
    <w:p>
      <w:pPr>
        <w:pStyle w:val="ListBullet"/>
        <w:spacing w:after="60" w:line="276" w:lineRule="auto"/>
      </w:pPr>
      <w:r>
        <w:t>Matriz de impacto, viabilidad y esfuerzo</w:t>
      </w:r>
    </w:p>
    <w:p>
      <w:pPr>
        <w:pStyle w:val="ListBullet"/>
        <w:spacing w:after="60" w:line="276" w:lineRule="auto"/>
      </w:pPr>
      <w:r>
        <w:t>Hoja de ruta de implementación de soluciones de IA</w:t>
      </w:r>
    </w:p>
    <w:p>
      <w:pPr>
        <w:pStyle w:val="ListBullet"/>
        <w:spacing w:after="60" w:line="276" w:lineRule="auto"/>
      </w:pPr>
      <w:r>
        <w:t>Propuesta final de implementación de soluciones de IA</w:t>
      </w:r>
    </w:p>
    <w:p>
      <w:pPr>
        <w:pStyle w:val="ListBullet"/>
        <w:spacing w:after="60" w:line="276" w:lineRule="auto"/>
      </w:pPr>
      <w:r>
        <w:t>Propuesta económica de consultoría</w:t>
      </w:r>
    </w:p>
    <w:p>
      <w:pPr>
        <w:pStyle w:val="ListBullet"/>
        <w:spacing w:after="60" w:line="276" w:lineRule="auto"/>
      </w:pPr>
      <w:r>
        <w:t>Soluciones de Inteligencia Artificial implementadas</w:t>
      </w:r>
    </w:p>
    <w:p>
      <w:pPr>
        <w:pStyle w:val="ListBullet"/>
        <w:spacing w:after="60" w:line="276" w:lineRule="auto"/>
      </w:pPr>
      <w:r>
        <w:t>Informe técnico de configuración de las soluciones</w:t>
      </w:r>
    </w:p>
    <w:p>
      <w:pPr>
        <w:pStyle w:val="ListBullet"/>
        <w:spacing w:after="60" w:line="276" w:lineRule="auto"/>
      </w:pPr>
      <w:r>
        <w:t>Material de capacitación para la adopción de soluciones</w:t>
      </w:r>
    </w:p>
    <w:p>
      <w:pPr>
        <w:pStyle w:val="ListBullet"/>
        <w:spacing w:after="60" w:line="276" w:lineRule="auto"/>
      </w:pPr>
      <w:r>
        <w:t>Reporte de evaluación de resultados de la implementación</w:t>
      </w:r>
    </w:p>
    <w:p>
      <w:pPr>
        <w:pStyle w:val="ListBullet"/>
        <w:spacing w:after="60" w:line="276" w:lineRule="auto"/>
      </w:pPr>
      <w:r>
        <w:t>Acta de cierre del proyecto de implementación</w:t>
      </w:r>
    </w:p>
    <w:p>
      <w:r>
        <w:br w:type="page"/>
      </w:r>
    </w:p>
    <w:p>
      <w:pPr>
        <w:spacing w:before="480" w:after="40"/>
      </w:pPr>
      <w:r>
        <w:rPr>
          <w:b/>
          <w:color w:val="787878"/>
          <w:sz w:val="18"/>
        </w:rPr>
        <w:t>CAPÍTULO 6 · PLAN OPERATIVO DE 4 SEMANAS</w:t>
      </w:r>
    </w:p>
    <w:p>
      <w:pPr>
        <w:pStyle w:val="Heading1"/>
        <w:spacing w:before="120" w:after="240"/>
      </w:pPr>
      <w:r>
        <w:rPr>
          <w:color w:val="28467E"/>
        </w:rPr>
        <w:t>Tu ruta de preparación recomendada</w:t>
      </w:r>
    </w:p>
    <w:p>
      <w:pPr>
        <w:spacing w:after="360"/>
      </w:pPr>
      <w:r>
        <w:rPr>
          <w:i/>
          <w:color w:val="505050"/>
          <w:sz w:val="22"/>
        </w:rPr>
        <w:t>Cuatro semanas de dedicación de 6 a 8 horas semanales. La ruta supone que ya cuentas con un proyecto real ejecutado, o en ejecución, con una MiPyME. Si no es así, tu primer paso es obtener esa experiencia.</w:t>
      </w:r>
    </w:p>
    <w:p>
      <w:pPr>
        <w:pStyle w:val="Heading2"/>
        <w:spacing w:before="360" w:after="120"/>
      </w:pPr>
      <w:r>
        <w:rPr>
          <w:color w:val="529ED7"/>
        </w:rPr>
        <w:t>6.1 Las 4 semanas de preparación</w:t>
      </w:r>
    </w:p>
    <w:p>
      <w:pPr>
        <w:spacing w:after="120" w:line="276" w:lineRule="auto"/>
      </w:pPr>
      <w:r>
        <w:t>La S2 es la más cargada (8 productos), la S4 es decisiva (práctica de desempeños y consolidación de conocimientos). El roleplay con colega de S4 marca la diferencia entre llegar memorizado y llegar competente.</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La S4 es la que más diferencia hace: </w:t>
            </w:r>
            <w:r>
              <w:t>Practicar los desempeños en voz alta con un colega —aunque sea por videollamada— es lo que más distingue a quienes llegan preparados de quienes llegan solo con los documentos. La evaluación CONOCER por evidencias tiene una parte documental y una parte de demostración en vivo: ambas cuentan por igual.</w:t>
            </w:r>
          </w:p>
        </w:tc>
      </w:tr>
    </w:tbl>
    <w:p>
      <w:pPr>
        <w:spacing w:after="120"/>
      </w:pP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Para tener presente: </w:t>
            </w:r>
            <w:r>
              <w:t>Si no puedes dedicar 6-8 horas semanales, extiende la ruta a 6 u 8 semanas con dedicación de 3-4 horas semanales. Lo importante esla disciplina constante, no la velocidad. La preparación apresurada se nota en la sesión de evaluación.</w:t>
            </w:r>
          </w:p>
        </w:tc>
      </w:tr>
    </w:tbl>
    <w:p>
      <w:pPr>
        <w:spacing w:after="120"/>
      </w:pPr>
    </w:p>
    <w:p>
      <w:pPr>
        <w:pStyle w:val="Heading2"/>
        <w:spacing w:before="360" w:after="120"/>
      </w:pPr>
      <w:r>
        <w:rPr>
          <w:color w:val="529ED7"/>
        </w:rPr>
        <w:t>6.2 Lista de verificación final</w:t>
      </w:r>
    </w:p>
    <w:p>
      <w:pPr>
        <w:spacing w:after="120" w:line="276" w:lineRule="auto"/>
      </w:pPr>
      <w:r>
        <w:t>Antes de presentarte a la evaluación, verifica que cuentas con cada elemento. Tu progreso se guarda en este navegador, así que puedes volver a revisarlo en cualquier momento.</w:t>
      </w:r>
    </w:p>
    <w:p>
      <w:r>
        <w:br w:type="page"/>
      </w:r>
    </w:p>
    <w:p>
      <w:pPr>
        <w:spacing w:before="480" w:after="40"/>
      </w:pPr>
      <w:r>
        <w:rPr>
          <w:b/>
          <w:color w:val="787878"/>
          <w:sz w:val="18"/>
        </w:rPr>
        <w:t>CAPÍTULO 7 · RECURSOS DEL ESTÁNDAR A</w:t>
      </w:r>
    </w:p>
    <w:p>
      <w:pPr>
        <w:pStyle w:val="Heading1"/>
        <w:spacing w:before="120" w:after="240"/>
      </w:pPr>
      <w:r>
        <w:rPr>
          <w:color w:val="28467E"/>
        </w:rPr>
        <w:t>Preguntas frecuentes, glosario, referencias y contacto</w:t>
      </w:r>
    </w:p>
    <w:p>
      <w:pPr>
        <w:spacing w:after="360"/>
      </w:pPr>
      <w:r>
        <w:rPr>
          <w:i/>
          <w:color w:val="505050"/>
          <w:sz w:val="22"/>
        </w:rPr>
        <w:t>Las dudas más comunes específicas del Estándar A, el glosario consolidado del F21, las 24 referencias bibliográficas que respaldan los conocimientos del estándar y los canales de soporte.</w:t>
      </w:r>
    </w:p>
    <w:p>
      <w:pPr>
        <w:pStyle w:val="Heading2"/>
        <w:spacing w:before="360" w:after="120"/>
      </w:pPr>
      <w:r>
        <w:rPr>
          <w:color w:val="529ED7"/>
        </w:rPr>
        <w:t>7.1 Preguntas frecuentes del Estándar A</w:t>
      </w:r>
    </w:p>
    <w:p>
      <w:pPr>
        <w:pStyle w:val="Heading3"/>
        <w:spacing w:before="240" w:after="80"/>
      </w:pPr>
      <w:r>
        <w:rPr>
          <w:color w:val="28467E"/>
        </w:rPr>
        <w:t>FAQ del estándar (preguntas específicas)</w:t>
      </w:r>
    </w:p>
    <w:p>
      <w:pPr>
        <w:spacing w:after="120" w:line="276" w:lineRule="auto"/>
      </w:pPr>
      <w:r>
        <w:t xml:space="preserve">Las preguntas siguientes son específicas del Estándar A. Para preguntas sobre el marco general de la certificación, consulta </w:t>
      </w:r>
      <w:r>
        <w:rPr>
          <w:color w:val="529ED7"/>
          <w:u w:val="single"/>
        </w:rPr>
      </w:r>
      <w:r>
        <w:t>Curso introductorio</w:t>
      </w:r>
      <w:r>
        <w:t>.</w:t>
      </w:r>
    </w:p>
    <w:p>
      <w:pPr>
        <w:spacing w:after="120" w:line="276" w:lineRule="auto"/>
      </w:pPr>
      <w:r>
        <w:t>Sobre el alcance del Estándar</w:t>
      </w:r>
    </w:p>
    <w:p>
      <w:pPr>
        <w:spacing w:after="120" w:line="276" w:lineRule="auto"/>
      </w:pPr>
      <w:r>
        <w:t>Sobre los productos</w:t>
      </w:r>
    </w:p>
    <w:p>
      <w:pPr>
        <w:spacing w:after="120" w:line="276" w:lineRule="auto"/>
      </w:pPr>
      <w:r>
        <w:t>Sobre los desempeños</w:t>
      </w:r>
    </w:p>
    <w:p>
      <w:pPr>
        <w:spacing w:after="120" w:line="276" w:lineRule="auto"/>
      </w:pPr>
      <w:r>
        <w:t>Sobre los conocimientos</w:t>
      </w:r>
    </w:p>
    <w:tbl>
      <w:tblPr>
        <w:tblW w:type="auto" w:w="0"/>
        <w:tblLayout w:type="fixed"/>
        <w:tblLook w:firstColumn="1" w:firstRow="1" w:lastColumn="0" w:lastRow="0" w:noHBand="0" w:noVBand="1" w:val="04A0"/>
      </w:tblPr>
      <w:tblGrid>
        <w:gridCol w:w="9360"/>
      </w:tblGrid>
      <w:tr>
        <w:tc>
          <w:tcPr>
            <w:tcW w:type="dxa" w:w="8640"/>
            <w:shd w:fill="F3F4F6"/>
            <w:tcMar>
              <w:top w:w="150" w:type="dxa"/>
              <w:bottom w:w="150" w:type="dxa"/>
              <w:left w:w="200" w:type="dxa"/>
              <w:right w:w="200" w:type="dxa"/>
            </w:tcMar>
            <w:tcBorders>
              <w:left w:val="single" w:sz="24" w:space="0" w:color="28467E"/>
              <w:top w:val="none"/>
              <w:right w:val="none"/>
              <w:bottom w:val="none"/>
            </w:tcBorders>
          </w:tcPr>
          <w:p>
            <w:pPr>
              <w:spacing w:before="0" w:after="80"/>
            </w:pPr>
            <w:r>
              <w:rPr>
                <w:b/>
                <w:color w:val="28467E"/>
              </w:rPr>
              <w:t xml:space="preserve">📌 ¿Tu pregunta no está aquí?: </w:t>
            </w:r>
            <w:r>
              <w:t>Consulta la sección deContacto y soporteal final de esta página o elFAQ general del Curso introductoriopara preguntas sobre el marco general de la certificación.</w:t>
            </w:r>
          </w:p>
        </w:tc>
      </w:tr>
    </w:tbl>
    <w:p>
      <w:pPr>
        <w:spacing w:after="120"/>
      </w:pPr>
    </w:p>
    <w:p>
      <w:pPr>
        <w:spacing w:after="120" w:line="276" w:lineRule="auto"/>
      </w:pPr>
      <w:r>
        <w:rPr>
          <w:b/>
        </w:rPr>
      </w:r>
      <w:r>
        <w:t>No.</w:t>
      </w:r>
      <w:r>
        <w:t xml:space="preserve"> El Estándar A certifica los tres elementos (planear, ejecutar, evaluar) como una unidad. Si solo demuestras uno o dos, el dictamen será </w:t>
      </w:r>
      <w:r>
        <w:rPr>
          <w:i/>
        </w:rPr>
      </w:r>
      <w:r>
        <w:t>Todavía no competente</w:t>
      </w:r>
      <w:r>
        <w:t xml:space="preserve">. Si tu trabajo se limita a la fase de implementación técnica, revisa si el </w:t>
      </w:r>
      <w:r>
        <w:rPr>
          <w:b/>
        </w:rPr>
      </w:r>
      <w:r>
        <w:t>Estándar D (Transformación digital)</w:t>
      </w:r>
      <w:r>
        <w:t xml:space="preserve"> corresponde mejor a tu perfil.</w:t>
      </w:r>
    </w:p>
    <w:p>
      <w:pPr>
        <w:spacing w:after="120" w:line="276" w:lineRule="auto"/>
      </w:pPr>
      <w:r>
        <w:t xml:space="preserve">El Estándar A es </w:t>
      </w:r>
      <w:r>
        <w:rPr>
          <w:b/>
        </w:rPr>
      </w:r>
      <w:r>
        <w:t>agnóstico</w:t>
      </w:r>
      <w:r>
        <w:t xml:space="preserve"> respecto a las herramientas específicas. Lo que importa es que las que uses sean apropiadas al contexto de la MiPyME y que puedas demostrar su funcionamiento. ChatGPT, Claude, Copilot, Gemini, plataformas de automatización (Zapier, Make, n8n), CRMs con módulos de IA, asistentes verticales del sector y herramientas de análisis con IA son todas aceptables.</w:t>
      </w:r>
    </w:p>
    <w:p>
      <w:pPr>
        <w:spacing w:after="120" w:line="276" w:lineRule="auto"/>
      </w:pPr>
      <w:r>
        <w:rPr>
          <w:b/>
        </w:rPr>
      </w:r>
      <w:r>
        <w:t>Sí</w:t>
      </w:r>
      <w:r>
        <w:t>, siempre que la MiPyME sea real, opere en el mercado y hayas ejercido efectivamente la función de implementación de IA en ella. La evaluación valorará las evidencias, no el vínculo previo con la empresa.</w:t>
      </w:r>
    </w:p>
    <w:p>
      <w:pPr>
        <w:spacing w:after="120" w:line="276" w:lineRule="auto"/>
      </w:pPr>
      <w:r>
        <w:t xml:space="preserve">Elabora el producto faltante de manera </w:t>
      </w:r>
      <w:r>
        <w:rPr>
          <w:b/>
        </w:rPr>
      </w:r>
      <w:r>
        <w:t>retrospectiva</w:t>
      </w:r>
      <w:r>
        <w:t>, con base en la realidad del proyecto. Por ejemplo, si nunca firmaste formalmente un acuerdo de confidencialidad con tu cliente, puedes prepararlo ahora y solicitar su firma. Lo importante es que el contenido refleje fielmente lo que ocurrió, no que se documente algo ficticio.</w:t>
      </w:r>
    </w:p>
    <w:p>
      <w:pPr>
        <w:spacing w:after="120" w:line="276" w:lineRule="auto"/>
      </w:pPr>
      <w:r>
        <w:t xml:space="preserve">El F21 admite ambos formatos. La mayoría de los aspirantes opta por formato digital (PDF) por practicidad, pero si trabajas con MiPyMEs que prefieren documentos impresos, puedes entregarlos así. Asegúrate de que cualquier formato esté </w:t>
      </w:r>
      <w:r>
        <w:rPr>
          <w:b/>
        </w:rPr>
      </w:r>
      <w:r>
        <w:t>libre de errores ortográficos</w:t>
      </w:r>
      <w:r>
        <w:t>, como exige el estándar.</w:t>
      </w:r>
    </w:p>
    <w:p>
      <w:pPr>
        <w:spacing w:after="120" w:line="276" w:lineRule="auto"/>
      </w:pPr>
      <w:r>
        <w:t xml:space="preserve">El F21 no establece extensiones mínimas. Lo que se valora son las características exigidas. Para una MiPyME pequeña (5-15 empleados), el reporte inicial puede ser de 1-3 páginas; el informe técnico de configuración de 5-15; la hoja de ruta de 3-8. </w:t>
      </w:r>
      <w:r>
        <w:rPr>
          <w:b/>
        </w:rPr>
      </w:r>
      <w:r>
        <w:t>Productos más extensos no son necesariamente mejores</w:t>
      </w:r>
      <w:r>
        <w:t>: lo que cuenta es la completitud de las características del F21.</w:t>
      </w:r>
    </w:p>
    <w:p>
      <w:pPr>
        <w:spacing w:after="120" w:line="276" w:lineRule="auto"/>
      </w:pPr>
      <w:r>
        <w:t xml:space="preserve">Las dos modalidades son posibles: </w:t>
      </w:r>
      <w:r>
        <w:rPr>
          <w:b/>
        </w:rPr>
      </w:r>
      <w:r>
        <w:t>presencial</w:t>
      </w:r>
      <w:r>
        <w:t xml:space="preserve"> (el evaluador puede acompañarte a una sesión real con el cliente) o </w:t>
      </w:r>
      <w:r>
        <w:rPr>
          <w:b/>
        </w:rPr>
      </w:r>
      <w:r>
        <w:t>simulada</w:t>
      </w:r>
      <w:r>
        <w:t xml:space="preserve"> (la sesión se realiza en el centro de evaluación con personal asignado que cumple el rol de cliente). La modalidad se acuerda en el Plan de evaluación. Si optas por simulada, lleva materiales reales de tu proyecto que el evaluador pueda revisar.</w:t>
      </w:r>
    </w:p>
    <w:p>
      <w:pPr>
        <w:spacing w:after="120" w:line="276" w:lineRule="auto"/>
      </w:pPr>
      <w:r>
        <w:t xml:space="preserve">El F21 exige </w:t>
      </w:r>
      <w:r>
        <w:rPr>
          <w:b/>
        </w:rPr>
      </w:r>
      <w:r>
        <w:t>desempeños observables por el evaluador</w:t>
      </w:r>
      <w:r>
        <w:t xml:space="preserve">. Las grabaciones pueden servir como evidencia complementaria de productos (por ejemplo, evidencia de funcionamiento de las soluciones), pero </w:t>
      </w:r>
      <w:r>
        <w:rPr>
          <w:b/>
        </w:rPr>
      </w:r>
      <w:r>
        <w:t>no sustituyen la observación directa</w:t>
      </w:r>
      <w:r>
        <w:t xml:space="preserve"> del desempeño. Tu evaluador necesitará presenciar al menos un ejemplo en vivo de cada desempeño exigido.</w:t>
      </w:r>
    </w:p>
    <w:p>
      <w:pPr>
        <w:spacing w:after="120" w:line="276" w:lineRule="auto"/>
      </w:pPr>
      <w:r>
        <w:t xml:space="preserve">El número exacto se especifica en el IEC del estándar. En términos generales, los reactivos cubrirán las áreas de conocimiento exigidas por los tres elementos: alrededor de </w:t>
      </w:r>
      <w:r>
        <w:rPr>
          <w:b/>
        </w:rPr>
      </w:r>
      <w:r>
        <w:t>14 reactivos en total</w:t>
      </w:r>
      <w:r>
        <w:t>, con peso proporcional al nivel cognitivo (Comprensión o Aplicación). El cuestionario se te aplicará en una de las sesiones de evaluación.</w:t>
      </w:r>
    </w:p>
    <w:p>
      <w:pPr>
        <w:spacing w:after="120" w:line="276" w:lineRule="auto"/>
      </w:pPr>
      <w:r>
        <w:t xml:space="preserve">El IEC del estándar define el tipo de reactivos. Es habitual una </w:t>
      </w:r>
      <w:r>
        <w:rPr>
          <w:b/>
        </w:rPr>
      </w:r>
      <w:r>
        <w:t>combinación de opción múltiple y reactivos breves de respuesta abierta</w:t>
      </w:r>
      <w:r>
        <w:t>. Tu Plan de evaluación te indicará con precisión el formato antes de que inicies la sesión.</w:t>
      </w:r>
    </w:p>
    <w:p>
      <w:pPr>
        <w:pStyle w:val="Heading2"/>
        <w:spacing w:before="360" w:after="120"/>
      </w:pPr>
      <w:r>
        <w:rPr>
          <w:color w:val="529ED7"/>
        </w:rPr>
        <w:t>7.2 Glosario consolidado del Estándar A</w:t>
      </w:r>
    </w:p>
    <w:p>
      <w:pPr>
        <w:pStyle w:val="Heading3"/>
        <w:spacing w:before="240" w:after="80"/>
      </w:pPr>
      <w:r>
        <w:rPr>
          <w:color w:val="28467E"/>
        </w:rPr>
        <w:t>Glosario alfabético</w:t>
      </w:r>
    </w:p>
    <w:p>
      <w:pPr>
        <w:spacing w:after="120" w:line="276" w:lineRule="auto"/>
      </w:pPr>
      <w:r>
        <w:t>Reúne las entradas de glosario establecidas en el F21 del Estándar A. Cada término proviene del documento oficial. Usa el buscador o salta a una letra del índice.</w:t>
      </w:r>
    </w:p>
    <w:p>
      <w:pPr>
        <w:pStyle w:val="Heading2"/>
        <w:spacing w:before="360" w:after="120"/>
      </w:pPr>
      <w:r>
        <w:rPr>
          <w:color w:val="529ED7"/>
        </w:rPr>
        <w:t>7.3 Referencias y fuentes consultadas</w:t>
      </w:r>
    </w:p>
    <w:p>
      <w:pPr>
        <w:pStyle w:val="Heading3"/>
        <w:spacing w:before="240" w:after="80"/>
      </w:pPr>
      <w:r>
        <w:rPr>
          <w:color w:val="28467E"/>
        </w:rPr>
        <w:t>Fuentes oficiales del estándar</w:t>
      </w:r>
    </w:p>
    <w:p>
      <w:pPr>
        <w:spacing w:after="120" w:line="276" w:lineRule="auto"/>
      </w:pPr>
      <w:r>
        <w:t>Las afirmaciones de carácter normativo, institucional o procedimental contenidas en el manual provienen de las fuentes que se relacionan a continuación.</w:t>
      </w:r>
    </w:p>
    <w:p>
      <w:pPr>
        <w:pStyle w:val="Heading3"/>
        <w:spacing w:before="240" w:after="80"/>
      </w:pPr>
      <w:r>
        <w:rPr>
          <w:color w:val="28467E"/>
        </w:rPr>
        <w:t>Fuentes citadas en el cuerpo del manual</w:t>
      </w:r>
    </w:p>
    <w:p>
      <w:pPr>
        <w:pStyle w:val="ListNumber"/>
        <w:spacing w:after="60" w:line="276" w:lineRule="auto"/>
      </w:pPr>
      <w:r>
        <w:t xml:space="preserve">DOF. </w:t>
      </w:r>
      <w:r>
        <w:rPr>
          <w:i/>
        </w:rPr>
      </w:r>
      <w:r>
        <w:t>Programa Institucional 2021-2024 del CONOCER.</w:t>
      </w:r>
      <w:r>
        <w:t xml:space="preserve"> Publicación: 27 de abril de 2021.</w:t>
      </w:r>
    </w:p>
    <w:p>
      <w:pPr>
        <w:pStyle w:val="ListNumber"/>
        <w:spacing w:after="60" w:line="276" w:lineRule="auto"/>
      </w:pPr>
      <w:r>
        <w:t xml:space="preserve">CONOCER. Información institucional sobre el Certificado de Competencia y el RENAP. Portal: </w:t>
      </w:r>
      <w:r>
        <w:rPr>
          <w:color w:val="529ED7"/>
          <w:u w:val="single"/>
        </w:rPr>
      </w:r>
      <w:r>
        <w:t>conocer.gob.mx</w:t>
      </w:r>
    </w:p>
    <w:p>
      <w:pPr>
        <w:pStyle w:val="ListNumber"/>
        <w:spacing w:after="60" w:line="276" w:lineRule="auto"/>
      </w:pPr>
      <w:r>
        <w:t xml:space="preserve">DOF. </w:t>
      </w:r>
      <w:r>
        <w:rPr>
          <w:i/>
        </w:rPr>
      </w:r>
      <w:r>
        <w:t>Reglas Generales y criterios para la integración y operación del SNC,</w:t>
      </w:r>
      <w:r>
        <w:t xml:space="preserve"> con reformas posteriores. Artículo 3.</w:t>
      </w:r>
    </w:p>
    <w:p>
      <w:pPr>
        <w:pStyle w:val="ListNumber"/>
        <w:spacing w:after="60" w:line="276" w:lineRule="auto"/>
      </w:pPr>
      <w:r>
        <w:t xml:space="preserve">Comité de Gestión por Competencias FUNDES. </w:t>
      </w:r>
      <w:r>
        <w:rPr>
          <w:i/>
        </w:rPr>
      </w:r>
      <w:r>
        <w:t>Estándar de Competencia "Implementación de soluciones con IA en los procesos de la MiPyME".</w:t>
      </w:r>
      <w:r>
        <w:t xml:space="preserve"> Documento F21-COOPYD-01.</w:t>
      </w:r>
    </w:p>
    <w:p>
      <w:pPr>
        <w:pStyle w:val="Heading3"/>
        <w:spacing w:before="240" w:after="80"/>
      </w:pPr>
      <w:r>
        <w:rPr>
          <w:color w:val="28467E"/>
        </w:rPr>
        <w:t>Referencias de información del Estándar A (R1-R24)</w:t>
      </w:r>
    </w:p>
    <w:p>
      <w:pPr>
        <w:spacing w:after="120" w:line="276" w:lineRule="auto"/>
      </w:pPr>
      <w:r>
        <w:t xml:space="preserve">Las referencias siguientes son las que el F21 del Estándar A consigna como fuentes que respaldan los conocimientos teóricos y técnicos exigidos para la certificación. Conviene consultarlas durante tu preparación, especialmente para profundizar en los conocimientos de nivel </w:t>
      </w:r>
      <w:r>
        <w:rPr>
          <w:b/>
        </w:rPr>
      </w:r>
      <w:r>
        <w:t>Aplicación</w:t>
      </w:r>
      <w:r>
        <w:t>:</w:t>
      </w:r>
    </w:p>
    <w:p>
      <w:pPr>
        <w:pStyle w:val="ListNumber"/>
        <w:spacing w:after="60" w:line="276" w:lineRule="auto"/>
      </w:pPr>
      <w:r>
        <w:rPr>
          <w:b/>
        </w:rPr>
      </w:r>
      <w:r>
        <w:t>[R1]</w:t>
      </w:r>
      <w:r>
        <w:t xml:space="preserve"> Association of Business Process Management Professionals (ABPMP). (2019). </w:t>
      </w:r>
      <w:r>
        <w:rPr>
          <w:i/>
        </w:rPr>
      </w:r>
      <w:r>
        <w:t>BPM CBOK: Guía para el cuerpo común de conocimientos sobre BPM</w:t>
      </w:r>
      <w:r>
        <w:t xml:space="preserve"> (4.ª ed.). ABPMP International.</w:t>
      </w:r>
    </w:p>
    <w:p>
      <w:pPr>
        <w:pStyle w:val="ListNumber"/>
        <w:spacing w:after="60" w:line="276" w:lineRule="auto"/>
      </w:pPr>
      <w:r>
        <w:rPr>
          <w:b/>
        </w:rPr>
      </w:r>
      <w:r>
        <w:t>[R2]</w:t>
      </w:r>
      <w:r>
        <w:t xml:space="preserve"> Cámara de Diputados del H. Congreso de la Unión. (2025). </w:t>
      </w:r>
      <w:r>
        <w:rPr>
          <w:i/>
        </w:rPr>
      </w:r>
      <w:r>
        <w:t>Ley Federal de Protección de Datos Personales en Posesión de los Particulares (LFPDPPP).</w:t>
      </w:r>
      <w:r>
        <w:t xml:space="preserve"> Reforma publicada en el DOF el 20 de marzo de 2025.</w:t>
      </w:r>
    </w:p>
    <w:p>
      <w:pPr>
        <w:pStyle w:val="ListNumber"/>
        <w:spacing w:after="60" w:line="276" w:lineRule="auto"/>
      </w:pPr>
      <w:r>
        <w:rPr>
          <w:b/>
        </w:rPr>
      </w:r>
      <w:r>
        <w:t>[R3]</w:t>
      </w:r>
      <w:r>
        <w:t xml:space="preserve"> Cámara de Diputados del H. Congreso de la Unión. (2020). </w:t>
      </w:r>
      <w:r>
        <w:rPr>
          <w:i/>
        </w:rPr>
      </w:r>
      <w:r>
        <w:t>Ley Federal de Protección a la Propiedad Industrial.</w:t>
      </w:r>
      <w:r>
        <w:t xml:space="preserve"> </w:t>
      </w:r>
      <w:r>
        <w:rPr>
          <w:color w:val="529ED7"/>
          <w:u w:val="single"/>
        </w:rPr>
      </w:r>
      <w:r>
        <w:t>PDF</w:t>
      </w:r>
    </w:p>
    <w:p>
      <w:pPr>
        <w:pStyle w:val="ListNumber"/>
        <w:spacing w:after="60" w:line="276" w:lineRule="auto"/>
      </w:pPr>
      <w:r>
        <w:rPr>
          <w:b/>
        </w:rPr>
      </w:r>
      <w:r>
        <w:t>[R4]</w:t>
      </w:r>
      <w:r>
        <w:t xml:space="preserve"> DAIR.AI. (2024). </w:t>
      </w:r>
      <w:r>
        <w:rPr>
          <w:i/>
        </w:rPr>
      </w:r>
      <w:r>
        <w:t>Prompt Engineering Guide.</w:t>
      </w:r>
      <w:r>
        <w:t xml:space="preserve"> </w:t>
      </w:r>
      <w:r>
        <w:rPr>
          <w:color w:val="529ED7"/>
          <w:u w:val="single"/>
        </w:rPr>
      </w:r>
      <w:r>
        <w:t>promptingguide.ai</w:t>
      </w:r>
    </w:p>
    <w:p>
      <w:pPr>
        <w:pStyle w:val="ListNumber"/>
        <w:spacing w:after="60" w:line="276" w:lineRule="auto"/>
      </w:pPr>
      <w:r>
        <w:rPr>
          <w:b/>
        </w:rPr>
      </w:r>
      <w:r>
        <w:t>[R5]</w:t>
      </w:r>
      <w:r>
        <w:t xml:space="preserve"> Deming, W. E. (1986). </w:t>
      </w:r>
      <w:r>
        <w:rPr>
          <w:i/>
        </w:rPr>
      </w:r>
      <w:r>
        <w:t>Out of the crisis.</w:t>
      </w:r>
      <w:r>
        <w:t xml:space="preserve"> MIT Press.</w:t>
      </w:r>
    </w:p>
    <w:p>
      <w:pPr>
        <w:pStyle w:val="ListNumber"/>
        <w:spacing w:after="60" w:line="276" w:lineRule="auto"/>
      </w:pPr>
      <w:r>
        <w:rPr>
          <w:b/>
        </w:rPr>
      </w:r>
      <w:r>
        <w:t>[R6]</w:t>
      </w:r>
      <w:r>
        <w:t xml:space="preserve"> Dumas, M., La Rosa, M., Mendling, J. y Reijers, H. A. (2018). </w:t>
      </w:r>
      <w:r>
        <w:rPr>
          <w:i/>
        </w:rPr>
      </w:r>
      <w:r>
        <w:t>Fundamentals of business process management</w:t>
      </w:r>
      <w:r>
        <w:t xml:space="preserve"> (2.ª ed.). Springer.</w:t>
      </w:r>
    </w:p>
    <w:p>
      <w:pPr>
        <w:pStyle w:val="ListNumber"/>
        <w:spacing w:after="60" w:line="276" w:lineRule="auto"/>
      </w:pPr>
      <w:r>
        <w:rPr>
          <w:b/>
        </w:rPr>
      </w:r>
      <w:r>
        <w:t>[R7]</w:t>
      </w:r>
      <w:r>
        <w:t xml:space="preserve"> Etxebarria Tobías, O., &amp; Orrantia Etxebarria, I. (2024). </w:t>
      </w:r>
      <w:r>
        <w:rPr>
          <w:i/>
        </w:rPr>
      </w:r>
      <w:r>
        <w:t>Inteligencia artificial para pymes: Aplica la IA y haz crecer tu empresa.</w:t>
      </w:r>
      <w:r>
        <w:t xml:space="preserve"> Anaya Multimedia.</w:t>
      </w:r>
    </w:p>
    <w:p>
      <w:pPr>
        <w:pStyle w:val="ListNumber"/>
        <w:spacing w:after="60" w:line="276" w:lineRule="auto"/>
      </w:pPr>
      <w:r>
        <w:rPr>
          <w:b/>
        </w:rPr>
      </w:r>
      <w:r>
        <w:t>[R8]</w:t>
      </w:r>
      <w:r>
        <w:t xml:space="preserve"> Global Partnership on Artificial Intelligence (GPAI). (2024). </w:t>
      </w:r>
      <w:r>
        <w:rPr>
          <w:i/>
        </w:rPr>
      </w:r>
      <w:r>
        <w:t>Broad adoption of AI by SMEs: Overview of 2023 activities and 2024 outlook.</w:t>
      </w:r>
      <w:r>
        <w:t xml:space="preserve"> OECD.AI.</w:t>
      </w:r>
    </w:p>
    <w:p>
      <w:pPr>
        <w:pStyle w:val="ListNumber"/>
        <w:spacing w:after="60" w:line="276" w:lineRule="auto"/>
      </w:pPr>
      <w:r>
        <w:rPr>
          <w:b/>
        </w:rPr>
      </w:r>
      <w:r>
        <w:t>[R9]</w:t>
      </w:r>
      <w:r>
        <w:t xml:space="preserve"> INEGI. (2024). </w:t>
      </w:r>
      <w:r>
        <w:rPr>
          <w:i/>
        </w:rPr>
      </w:r>
      <w:r>
        <w:t>Encuesta Nacional de Digitalización de Negocios (EDN) 2023.</w:t>
      </w:r>
    </w:p>
    <w:p>
      <w:pPr>
        <w:pStyle w:val="ListNumber"/>
        <w:spacing w:after="60" w:line="276" w:lineRule="auto"/>
      </w:pPr>
      <w:r>
        <w:rPr>
          <w:b/>
        </w:rPr>
      </w:r>
      <w:r>
        <w:t>[R10]</w:t>
      </w:r>
      <w:r>
        <w:t xml:space="preserve"> Kane, G. C., Palmer, D., Phillips, A. N., Kiron, D. y Buckley, N. (2019). </w:t>
      </w:r>
      <w:r>
        <w:rPr>
          <w:i/>
        </w:rPr>
      </w:r>
      <w:r>
        <w:t>The technology fallacy: How people are the real key to digital transformation.</w:t>
      </w:r>
      <w:r>
        <w:t xml:space="preserve"> MIT Press.</w:t>
      </w:r>
    </w:p>
    <w:p>
      <w:pPr>
        <w:pStyle w:val="ListNumber"/>
        <w:spacing w:after="60" w:line="276" w:lineRule="auto"/>
      </w:pPr>
      <w:r>
        <w:rPr>
          <w:b/>
        </w:rPr>
      </w:r>
      <w:r>
        <w:t>[R11]</w:t>
      </w:r>
      <w:r>
        <w:t xml:space="preserve"> Kotter, J. P. (2012). </w:t>
      </w:r>
      <w:r>
        <w:rPr>
          <w:i/>
        </w:rPr>
      </w:r>
      <w:r>
        <w:t>Leading change.</w:t>
      </w:r>
      <w:r>
        <w:t xml:space="preserve"> Harvard Business Review Press.</w:t>
      </w:r>
    </w:p>
    <w:p>
      <w:pPr>
        <w:pStyle w:val="ListNumber"/>
        <w:spacing w:after="60" w:line="276" w:lineRule="auto"/>
      </w:pPr>
      <w:r>
        <w:rPr>
          <w:b/>
        </w:rPr>
      </w:r>
      <w:r>
        <w:t>[R12]</w:t>
      </w:r>
      <w:r>
        <w:t xml:space="preserve"> </w:t>
      </w:r>
      <w:r>
        <w:rPr>
          <w:i/>
        </w:rPr>
      </w:r>
      <w:r>
        <w:t>Ley para el Desarrollo de la Competitividad de la Micro, Pequeña y Mediana Empresa.</w:t>
      </w:r>
      <w:r>
        <w:t xml:space="preserve"> (DOF 30/12/2002, última reforma 20/10/2023).</w:t>
      </w:r>
    </w:p>
    <w:p>
      <w:pPr>
        <w:pStyle w:val="ListNumber"/>
        <w:spacing w:after="60" w:line="276" w:lineRule="auto"/>
      </w:pPr>
      <w:r>
        <w:rPr>
          <w:b/>
        </w:rPr>
      </w:r>
      <w:r>
        <w:t>[R13]</w:t>
      </w:r>
      <w:r>
        <w:t xml:space="preserve"> NIST. (2023). </w:t>
      </w:r>
      <w:r>
        <w:rPr>
          <w:i/>
        </w:rPr>
      </w:r>
      <w:r>
        <w:t>AI Risk Management Framework (AI RMF 1.0).</w:t>
      </w:r>
      <w:r>
        <w:t xml:space="preserve"> </w:t>
      </w:r>
      <w:r>
        <w:rPr>
          <w:color w:val="529ED7"/>
          <w:u w:val="single"/>
        </w:rPr>
      </w:r>
      <w:r>
        <w:t>nist.gov</w:t>
      </w:r>
    </w:p>
    <w:p>
      <w:pPr>
        <w:pStyle w:val="ListNumber"/>
        <w:spacing w:after="60" w:line="276" w:lineRule="auto"/>
      </w:pPr>
      <w:r>
        <w:rPr>
          <w:b/>
        </w:rPr>
      </w:r>
      <w:r>
        <w:t>[R14]</w:t>
      </w:r>
      <w:r>
        <w:t xml:space="preserve"> OCDE. (2024). </w:t>
      </w:r>
      <w:r>
        <w:rPr>
          <w:i/>
        </w:rPr>
      </w:r>
      <w:r>
        <w:t>Generative AI and the SME workforce.</w:t>
      </w:r>
      <w:r>
        <w:t xml:space="preserve"> OECD Publishing.</w:t>
      </w:r>
    </w:p>
    <w:p>
      <w:pPr>
        <w:pStyle w:val="ListNumber"/>
        <w:spacing w:after="60" w:line="276" w:lineRule="auto"/>
      </w:pPr>
      <w:r>
        <w:rPr>
          <w:b/>
        </w:rPr>
      </w:r>
      <w:r>
        <w:t>[R15]</w:t>
      </w:r>
      <w:r>
        <w:t xml:space="preserve"> OCDE. (2024). </w:t>
      </w:r>
      <w:r>
        <w:rPr>
          <w:i/>
        </w:rPr>
      </w:r>
      <w:r>
        <w:t>OECD Principles on Artificial Intelligence</w:t>
      </w:r>
      <w:r>
        <w:t xml:space="preserve"> (actualización mayo 2024). </w:t>
      </w:r>
      <w:r>
        <w:rPr>
          <w:color w:val="529ED7"/>
          <w:u w:val="single"/>
        </w:rPr>
      </w:r>
      <w:r>
        <w:t>oecd.ai</w:t>
      </w:r>
    </w:p>
    <w:p>
      <w:pPr>
        <w:pStyle w:val="ListNumber"/>
        <w:spacing w:after="60" w:line="276" w:lineRule="auto"/>
      </w:pPr>
      <w:r>
        <w:rPr>
          <w:b/>
        </w:rPr>
      </w:r>
      <w:r>
        <w:t>[R16]</w:t>
      </w:r>
      <w:r>
        <w:t xml:space="preserve"> Organización Internacional de Normalización. (2023). </w:t>
      </w:r>
      <w:r>
        <w:rPr>
          <w:i/>
        </w:rPr>
      </w:r>
      <w:r>
        <w:t>ISO/IEC 42001:2023. Information technology — Artificial intelligence — Management system.</w:t>
      </w:r>
    </w:p>
    <w:p>
      <w:pPr>
        <w:pStyle w:val="ListNumber"/>
        <w:spacing w:after="60" w:line="276" w:lineRule="auto"/>
      </w:pPr>
      <w:r>
        <w:rPr>
          <w:b/>
        </w:rPr>
      </w:r>
      <w:r>
        <w:t>[R17]</w:t>
      </w:r>
      <w:r>
        <w:t xml:space="preserve"> Project Management Institute (PMI). (2021). </w:t>
      </w:r>
      <w:r>
        <w:rPr>
          <w:i/>
        </w:rPr>
      </w:r>
      <w:r>
        <w:t>Guía de los fundamentos para la dirección de proyectos (Guía del PMBOK)</w:t>
      </w:r>
      <w:r>
        <w:t xml:space="preserve"> (7.ª ed.). PMI.</w:t>
      </w:r>
    </w:p>
    <w:p>
      <w:pPr>
        <w:pStyle w:val="ListNumber"/>
        <w:spacing w:after="60" w:line="276" w:lineRule="auto"/>
      </w:pPr>
      <w:r>
        <w:rPr>
          <w:b/>
        </w:rPr>
      </w:r>
      <w:r>
        <w:t>[R18]</w:t>
      </w:r>
      <w:r>
        <w:t xml:space="preserve"> Prosci. (2023). </w:t>
      </w:r>
      <w:r>
        <w:rPr>
          <w:i/>
        </w:rPr>
      </w:r>
      <w:r>
        <w:t>Best practices in change management</w:t>
      </w:r>
      <w:r>
        <w:t xml:space="preserve"> (12.ª ed.). Prosci Learning Center Publications.</w:t>
      </w:r>
    </w:p>
    <w:p>
      <w:pPr>
        <w:pStyle w:val="ListNumber"/>
        <w:spacing w:after="60" w:line="276" w:lineRule="auto"/>
      </w:pPr>
      <w:r>
        <w:rPr>
          <w:b/>
        </w:rPr>
      </w:r>
      <w:r>
        <w:t>[R19]</w:t>
      </w:r>
      <w:r>
        <w:t xml:space="preserve"> Sahoo, P., Singh, A. K., Saha, S., Jain, V., Mondal, S., &amp; Chadha, A. (2024). </w:t>
      </w:r>
      <w:r>
        <w:rPr>
          <w:i/>
        </w:rPr>
      </w:r>
      <w:r>
        <w:t>A systematic survey of prompt engineering in large language models: Techniques and applications.</w:t>
      </w:r>
      <w:r>
        <w:t xml:space="preserve"> arXiv. </w:t>
      </w:r>
      <w:r>
        <w:rPr>
          <w:color w:val="529ED7"/>
          <w:u w:val="single"/>
        </w:rPr>
      </w:r>
      <w:r>
        <w:t>arXiv:2402.07927</w:t>
      </w:r>
    </w:p>
    <w:p>
      <w:pPr>
        <w:pStyle w:val="ListNumber"/>
        <w:spacing w:after="60" w:line="276" w:lineRule="auto"/>
      </w:pPr>
      <w:r>
        <w:rPr>
          <w:b/>
        </w:rPr>
      </w:r>
      <w:r>
        <w:t>[R20]</w:t>
      </w:r>
      <w:r>
        <w:t xml:space="preserve"> Secretaría de Economía. (2017). </w:t>
      </w:r>
      <w:r>
        <w:rPr>
          <w:i/>
        </w:rPr>
      </w:r>
      <w:r>
        <w:t>NOM-151-SCFI-2016, Requisitos para la conservación de mensajes de datos y la digitalización de documentos.</w:t>
      </w:r>
      <w:r>
        <w:t xml:space="preserve"> DOF, 30 de marzo de 2017.</w:t>
      </w:r>
    </w:p>
    <w:p>
      <w:pPr>
        <w:pStyle w:val="ListNumber"/>
        <w:spacing w:after="60" w:line="276" w:lineRule="auto"/>
      </w:pPr>
      <w:r>
        <w:rPr>
          <w:b/>
        </w:rPr>
      </w:r>
      <w:r>
        <w:t>[R21]</w:t>
      </w:r>
      <w:r>
        <w:t xml:space="preserve"> Suprema Corte de Justicia de la Nación. (2025). </w:t>
      </w:r>
      <w:r>
        <w:rPr>
          <w:i/>
        </w:rPr>
      </w:r>
      <w:r>
        <w:t>Amparo Directo 6/2025.</w:t>
      </w:r>
      <w:r>
        <w:t xml:space="preserve"> Segunda Sala. Resolución sobre la no registrabilidad de obras generadas exclusivamente por IA bajo la Ley Federal del Derecho de Autor.</w:t>
      </w:r>
    </w:p>
    <w:p>
      <w:pPr>
        <w:pStyle w:val="ListNumber"/>
        <w:spacing w:after="60" w:line="276" w:lineRule="auto"/>
      </w:pPr>
      <w:r>
        <w:rPr>
          <w:b/>
        </w:rPr>
      </w:r>
      <w:r>
        <w:t>[R22]</w:t>
      </w:r>
      <w:r>
        <w:t xml:space="preserve"> UNESCO. (2021). </w:t>
      </w:r>
      <w:r>
        <w:rPr>
          <w:i/>
        </w:rPr>
      </w:r>
      <w:r>
        <w:t>Recommendation on the Ethics of Artificial Intelligence.</w:t>
      </w:r>
      <w:r>
        <w:t xml:space="preserve"> </w:t>
      </w:r>
      <w:r>
        <w:rPr>
          <w:color w:val="529ED7"/>
          <w:u w:val="single"/>
        </w:rPr>
      </w:r>
      <w:r>
        <w:t>unesco.org</w:t>
      </w:r>
    </w:p>
    <w:p>
      <w:pPr>
        <w:pStyle w:val="ListNumber"/>
        <w:spacing w:after="60" w:line="276" w:lineRule="auto"/>
      </w:pPr>
      <w:r>
        <w:rPr>
          <w:b/>
        </w:rPr>
      </w:r>
      <w:r>
        <w:t>[R23]</w:t>
      </w:r>
      <w:r>
        <w:t xml:space="preserve"> Westerman, G., Bonnet, D. y McAfee, A. (2014). </w:t>
      </w:r>
      <w:r>
        <w:rPr>
          <w:i/>
        </w:rPr>
      </w:r>
      <w:r>
        <w:t>Leading digital: Turning technology into business transformation.</w:t>
      </w:r>
      <w:r>
        <w:t xml:space="preserve"> Harvard Business Review Press.</w:t>
      </w:r>
    </w:p>
    <w:p>
      <w:pPr>
        <w:pStyle w:val="ListNumber"/>
        <w:spacing w:after="60" w:line="276" w:lineRule="auto"/>
      </w:pPr>
      <w:r>
        <w:rPr>
          <w:b/>
        </w:rPr>
      </w:r>
      <w:r>
        <w:t>[R24]</w:t>
      </w:r>
      <w:r>
        <w:t xml:space="preserve"> WIPO. (2024). </w:t>
      </w:r>
      <w:r>
        <w:rPr>
          <w:i/>
        </w:rPr>
      </w:r>
      <w:r>
        <w:t>Generative AI: Navigating intellectual property</w:t>
      </w:r>
      <w:r>
        <w:t xml:space="preserve"> (RN2024-8EN). WIPO.</w:t>
      </w:r>
    </w:p>
    <w:p>
      <w:pPr>
        <w:pStyle w:val="Heading2"/>
        <w:spacing w:before="360" w:after="120"/>
      </w:pPr>
      <w:r>
        <w:rPr>
          <w:color w:val="529ED7"/>
        </w:rPr>
        <w:t>7.4 Datos de contacto y soporte</w:t>
      </w:r>
    </w:p>
    <w:p>
      <w:pPr>
        <w:pStyle w:val="Heading3"/>
        <w:spacing w:before="240" w:after="80"/>
      </w:pPr>
      <w:r>
        <w:rPr>
          <w:color w:val="28467E"/>
        </w:rPr>
        <w:t>Canales de soporte</w:t>
      </w:r>
    </w:p>
    <w:p>
      <w:pPr>
        <w:spacing w:after="120" w:line="276" w:lineRule="auto"/>
      </w:pPr>
      <w:r>
        <w:t>Para cualquier consulta relacionada con tu proceso de evaluación en el Estándar A —postulación, calendario, requerimientos, dudas operativas— FUNDES Latinoamérica pone a tu disposición los siguientes canales:</w:t>
      </w:r>
    </w:p>
    <w:p>
      <w:pPr>
        <w:pStyle w:val="Heading3"/>
        <w:spacing w:before="240" w:after="80"/>
      </w:pPr>
      <w:r>
        <w:rPr>
          <w:color w:val="28467E"/>
        </w:rPr>
        <w:t>Soporte específico del Estándar A</w:t>
      </w:r>
    </w:p>
    <w:p>
      <w:pPr>
        <w:spacing w:after="120" w:line="276" w:lineRule="auto"/>
      </w:pPr>
      <w:r>
        <w:t>Para preguntas sobre criterios de evaluación, formatos de los productos exigidos, interpretación de las características del F21 o aclaraciones técnicas, puedes dirigirte al equipo coordinador del proyecto Mi CompañIA a través de los canales que se publicarán en la página institucional del proyecto.</w:t>
      </w:r>
    </w:p>
    <w:p>
      <w:pPr>
        <w:pStyle w:val="Heading3"/>
        <w:spacing w:before="240" w:after="80"/>
      </w:pPr>
      <w:r>
        <w:rPr>
          <w:color w:val="28467E"/>
        </w:rPr>
        <w:t>Soporte de tu Centro de Evaluación o Evaluador Independiente</w:t>
      </w:r>
    </w:p>
    <w:p>
      <w:pPr>
        <w:spacing w:after="120" w:line="276" w:lineRule="auto"/>
      </w:pPr>
      <w:r>
        <w:t>Una vez inscrito al proceso, tu Centro de Evaluación o Evaluador Independiente te indicará los canales operativos: agenda de sesiones, requerimientos técnicos específicos, dudas sobre la modalidad presencial o remota.</w:t>
      </w:r>
    </w:p>
    <w:p>
      <w:pPr>
        <w:pStyle w:val="Heading3"/>
        <w:spacing w:before="240" w:after="80"/>
      </w:pPr>
      <w:r>
        <w:rPr>
          <w:color w:val="28467E"/>
        </w:rPr>
        <w:t>Información oficial del CONOCER</w:t>
      </w:r>
    </w:p>
    <w:p>
      <w:pPr>
        <w:spacing w:after="120" w:line="276" w:lineRule="auto"/>
      </w:pPr>
      <w:r>
        <w:t xml:space="preserve">Para consultas relativas al marco institucional del Sistema Nacional de Competencias, al RENEC, al RENAP o al Padrón de Prestadores de Servicios: </w:t>
      </w:r>
      <w:r>
        <w:rPr>
          <w:color w:val="529ED7"/>
          <w:u w:val="single"/>
        </w:rPr>
      </w:r>
      <w:r>
        <w:t>conocer.gob.mx</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