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 de configuración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Informe técnico de configuración Manual de Implementar IA · Producto del Elemento 2 · Ejecutar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la descripción de las herramientas/plataformas de IA configuradas y su propósito</w:t>
      </w:r>
    </w:p>
    <w:p>
      <w:pPr>
        <w:pStyle w:val="ListBullet"/>
      </w:pPr>
      <w:r>
        <w:t>Incluye los parámetros de configuración aplicados en cada herramienta</w:t>
      </w:r>
    </w:p>
    <w:p>
      <w:pPr>
        <w:pStyle w:val="ListBullet"/>
      </w:pPr>
      <w:r>
        <w:t>Contiene especificadas las integraciones realizadas con sistemas/plataformas/procesos existentes</w:t>
      </w:r>
    </w:p>
    <w:p>
      <w:pPr>
        <w:pStyle w:val="ListBullet"/>
      </w:pPr>
      <w:r>
        <w:t>Incluye los requisitos técnicos necesarios para el funcionamiento</w:t>
      </w:r>
    </w:p>
    <w:p>
      <w:pPr>
        <w:pStyle w:val="ListBullet"/>
      </w:pPr>
      <w:r>
        <w:t>Incluye los elementos de ciberseguridad considerados + leyes y normas aplicables</w:t>
      </w:r>
    </w:p>
    <w:p>
      <w:pPr>
        <w:pStyle w:val="ListBullet"/>
      </w:pPr>
      <w:r>
        <w:t>Contiene los accesos y permisos configurados para los usuarios de la MiPyME</w:t>
      </w:r>
    </w:p>
    <w:p>
      <w:pPr>
        <w:pStyle w:val="ListBullet"/>
      </w:pPr>
      <w:r>
        <w:t>Contiene los resultados de las pruebas funcionales (funcionamiento/integración/uso en condiciones reales)</w:t>
      </w:r>
    </w:p>
    <w:p>
      <w:pPr>
        <w:pStyle w:val="ListBullet"/>
      </w:pPr>
      <w:r>
        <w:t>Contiene especificados los indicadores de desempeño obtenidos durante la fase de pruebas</w:t>
      </w:r>
    </w:p>
    <w:p>
      <w:pPr>
        <w:pStyle w:val="ListBullet"/>
      </w:pPr>
      <w:r>
        <w:t>Se presenta en formato digital,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