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Acta de cierre del proyecto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</w:tcPr>
          <w:p>
            <w:r>
              <w:rPr>
                <w:b/>
              </w:rPr>
              <w:t>Mi CompañIA</w:t>
            </w:r>
          </w:p>
        </w:tc>
        <w:tc>
          <w:tcPr>
            <w:tcW w:type="dxa" w:w="3408"/>
          </w:tcPr>
          <w:p>
            <w:r>
              <w:rPr>
                <w:b/>
              </w:rPr>
              <w:t>Acta de cierre del proyecto Manual de Implementar IA · Producto del Elemento 3 · Evaluar</w:t>
            </w:r>
          </w:p>
        </w:tc>
        <w:tc>
          <w:tcPr>
            <w:tcW w:type="dxa" w:w="3408"/>
          </w:tcPr>
          <w:p>
            <w:r>
              <w:rPr>
                <w:b/>
              </w:rPr>
              <w:t>Producto 4.4.2 Template editable Mi CompañIA · FUNDES</w:t>
            </w:r>
          </w:p>
        </w:tc>
      </w:tr>
    </w:tbl>
    <w:p>
      <w:pPr>
        <w:pStyle w:val="Heading2"/>
      </w:pPr>
      <w:r>
        <w:t>Referencia de trabajo del F21</w:t>
      </w:r>
    </w:p>
    <w:p>
      <w:pPr>
        <w:pStyle w:val="ListBullet"/>
      </w:pPr>
      <w:r>
        <w:t>Contiene el resumen ejecutivo del proyecto: alcance, objetivos y resultados obtenidos</w:t>
      </w:r>
    </w:p>
    <w:p>
      <w:pPr>
        <w:pStyle w:val="ListBullet"/>
      </w:pPr>
      <w:r>
        <w:t>Incluye el listado de las soluciones de IA implementadas y su estado operativo al cierre</w:t>
      </w:r>
    </w:p>
    <w:p>
      <w:pPr>
        <w:pStyle w:val="ListBullet"/>
      </w:pPr>
      <w:r>
        <w:t>Incluye las lecciones aprendidas durante el proyecto de implementación</w:t>
      </w:r>
    </w:p>
    <w:p>
      <w:pPr>
        <w:pStyle w:val="ListBullet"/>
      </w:pPr>
      <w:r>
        <w:t>Contiene descritos los compromisos pendientes y próximos pasos acordados entre ambas partes</w:t>
      </w:r>
    </w:p>
    <w:p>
      <w:pPr>
        <w:pStyle w:val="ListBullet"/>
      </w:pPr>
      <w:r>
        <w:t>Contiene los contactos de soporte técnico para incidencias futuras REQUISITO TAXATIVO</w:t>
      </w:r>
    </w:p>
    <w:p>
      <w:pPr>
        <w:pStyle w:val="ListBullet"/>
      </w:pPr>
      <w:r>
        <w:t>Incluye las firmas del consultor y del representante de la MiPyME REQUISITO TAXATIVO</w:t>
      </w:r>
    </w:p>
    <w:p>
      <w:pPr>
        <w:pStyle w:val="ListBullet"/>
      </w:pPr>
      <w:r>
        <w:t>Se presenta en formato digital/físico, sin errores ortográficos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</w:tcPr>
          <w:p>
            <w:r>
              <w:rPr>
                <w:b/>
              </w:rPr>
              <w:t>MiPyME (razón social)</w:t>
            </w:r>
          </w:p>
        </w:tc>
        <w:tc>
          <w:tcPr>
            <w:tcW w:type="dxa" w:w="5112"/>
          </w:tcPr>
          <w:p>
            <w:r>
              <w:rPr>
                <w:b/>
              </w:rPr>
            </w:r>
          </w:p>
        </w:tc>
      </w:tr>
      <w:tr>
        <w:tc>
          <w:tcPr>
            <w:tcW w:type="dxa" w:w="5112"/>
          </w:tcPr>
          <w:p>
            <w:r>
              <w:t>Persona responsable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Consultor responsable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Fecha del documento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1"/>
      </w:pPr>
      <w:r>
        <w:t>Tu turno · preguntas guía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