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Guía operativa de publicación para la MiPyME, documentada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</w:tcPr>
          <w:p>
            <w:r>
              <w:rPr>
                <w:b/>
              </w:rPr>
              <w:t>Mi CompañIA</w:t>
            </w:r>
          </w:p>
        </w:tc>
        <w:tc>
          <w:tcPr>
            <w:tcW w:type="dxa" w:w="3408"/>
          </w:tcPr>
          <w:p>
            <w:r>
              <w:rPr>
                <w:b/>
              </w:rPr>
              <w:t>Guía operativa de publicación para la MiPyME, documentada Manual de Marketing Digital con IA · Producto del Elemento 3 · Implementar</w:t>
            </w:r>
          </w:p>
        </w:tc>
        <w:tc>
          <w:tcPr>
            <w:tcW w:type="dxa" w:w="3408"/>
          </w:tcPr>
          <w:p>
            <w:r>
              <w:rPr>
                <w:b/>
              </w:rPr>
              <w:t>Producto 3.2 Template editable Mi CompañIA · FUNDES</w:t>
            </w:r>
          </w:p>
        </w:tc>
      </w:tr>
    </w:tbl>
    <w:p>
      <w:pPr>
        <w:pStyle w:val="Heading2"/>
      </w:pPr>
      <w:r>
        <w:t>Referencia de trabajo del F21</w:t>
      </w:r>
    </w:p>
    <w:p>
      <w:pPr>
        <w:pStyle w:val="ListBullet"/>
      </w:pPr>
      <w:r>
        <w:t>(a) Contiene el procedimiento paso a paso de carga, programación y publicación de contenido por cada plataforma digital activa de la MiPyME</w:t>
      </w:r>
    </w:p>
    <w:p>
      <w:pPr>
        <w:pStyle w:val="ListBullet"/>
      </w:pPr>
      <w:r>
        <w:t>(b) Incluye las especificaciones técnicas de formato por cada plataforma digital activa de la MiPyME</w:t>
      </w:r>
    </w:p>
    <w:p>
      <w:pPr>
        <w:pStyle w:val="ListBullet"/>
      </w:pPr>
      <w:r>
        <w:t>(c) Enlista los horarios recomendados de publicación por cada plataforma digital activa de la MiPyME conforme a la estrategia</w:t>
      </w:r>
    </w:p>
    <w:p>
      <w:pPr>
        <w:pStyle w:val="ListBullet"/>
      </w:pPr>
      <w:r>
        <w:t>(d) Contiene descritas las restricciones y políticas de contenido de cada plataforma digital activa de la MiPyME</w:t>
      </w:r>
    </w:p>
    <w:p>
      <w:pPr>
        <w:pStyle w:val="ListBullet"/>
      </w:pPr>
      <w:r>
        <w:t>(e) Incluye los accesos y credenciales de las herramientas de programación y gestión de redes utilizadas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</w:tcPr>
          <w:p>
            <w:r>
              <w:rPr>
                <w:b/>
              </w:rPr>
              <w:t>MiPyME (razón social)</w:t>
            </w:r>
          </w:p>
        </w:tc>
        <w:tc>
          <w:tcPr>
            <w:tcW w:type="dxa" w:w="5112"/>
          </w:tcPr>
          <w:p>
            <w:r>
              <w:rPr>
                <w:b/>
              </w:rPr>
            </w:r>
          </w:p>
        </w:tc>
      </w:tr>
      <w:tr>
        <w:tc>
          <w:tcPr>
            <w:tcW w:type="dxa" w:w="5112"/>
          </w:tcPr>
          <w:p>
            <w:r>
              <w:t>Persona responsable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Consultor responsable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Fecha del documento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Tu turno · preguntas guía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