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C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Checklist de desempeños · Ruta C</w:t>
      </w:r>
    </w:p>
    <w:p>
      <w:r>
        <w:t>Material de autoevaluación basado en documentos de trabajo. Revisa la versión oficial cuando el estándar sea aprobado y publicado.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 w:val="true"/>
          <w:tblHeader w:val="true"/>
        </w:trPr>
        <w:tc>
          <w:tcPr>
            <w:tcW w:type="dxa" w:w="5184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Criterio o evidencia</w:t>
            </w:r>
          </w:p>
        </w:tc>
        <w:tc>
          <w:tcPr>
            <w:tcW w:type="dxa" w:w="1224"/>
            <w:shd w:val="clear" w:color="auto" w:fill="28467E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color w:val="FFFFFF"/>
                <w:sz w:val="19"/>
              </w:rPr>
              <w:t>Preparado</w:t>
            </w:r>
          </w:p>
        </w:tc>
        <w:tc>
          <w:tcPr>
            <w:tcW w:type="dxa" w:w="1368"/>
            <w:shd w:val="clear" w:color="auto" w:fill="28467E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b/>
                <w:color w:val="FFFFFF"/>
                <w:sz w:val="19"/>
              </w:rPr>
              <w:t>Por reforzar</w:t>
            </w:r>
          </w:p>
        </w:tc>
        <w:tc>
          <w:tcPr>
            <w:tcW w:type="dxa" w:w="2160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Notas / ubicación de evidencia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Desempeño 1.1 · Validar la estrategia de contenido con la persona responsable de la MiPyME</w:t>
            </w:r>
          </w:p>
        </w:tc>
        <w:tc>
          <w:tcPr>
            <w:tcW w:type="dxa" w:w="1224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1368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2160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84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Desempeño 2.1 · Generar contenido de texto con IA</w:t>
            </w:r>
          </w:p>
        </w:tc>
        <w:tc>
          <w:tcPr>
            <w:tcW w:type="dxa" w:w="1224"/>
            <w:shd w:val="clear" w:color="auto" w:fill="F3F6FB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1368"/>
            <w:shd w:val="clear" w:color="auto" w:fill="F3F6FB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2160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84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Desempeño 2.2 · Generar contenido de imagen con IA</w:t>
            </w:r>
          </w:p>
        </w:tc>
        <w:tc>
          <w:tcPr>
            <w:tcW w:type="dxa" w:w="1224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1368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2160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84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Desempeño 2.3 · Generar contenido de audio con IA</w:t>
            </w:r>
          </w:p>
        </w:tc>
        <w:tc>
          <w:tcPr>
            <w:tcW w:type="dxa" w:w="1224"/>
            <w:shd w:val="clear" w:color="auto" w:fill="F3F6FB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1368"/>
            <w:shd w:val="clear" w:color="auto" w:fill="F3F6FB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2160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84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Desempeño 2.4 · Generar contenido de video con IA</w:t>
            </w:r>
          </w:p>
        </w:tc>
        <w:tc>
          <w:tcPr>
            <w:tcW w:type="dxa" w:w="1224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1368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2160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84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Desempeño 3.1 · Publicar contenido en plataformas y documentar la implementación</w:t>
            </w:r>
          </w:p>
        </w:tc>
        <w:tc>
          <w:tcPr>
            <w:tcW w:type="dxa" w:w="1224"/>
            <w:shd w:val="clear" w:color="auto" w:fill="F3F6FB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1368"/>
            <w:shd w:val="clear" w:color="auto" w:fill="F3F6FB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2160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84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Desempeño 3.2 · Habilitar al personal responsable para operar el proceso</w:t>
            </w:r>
          </w:p>
        </w:tc>
        <w:tc>
          <w:tcPr>
            <w:tcW w:type="dxa" w:w="1224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1368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2160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84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Desempeño 4.1 · Presentar resultados, recomendaciones y obtener validación</w:t>
            </w:r>
          </w:p>
        </w:tc>
        <w:tc>
          <w:tcPr>
            <w:tcW w:type="dxa" w:w="1224"/>
            <w:shd w:val="clear" w:color="auto" w:fill="F3F6FB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1368"/>
            <w:shd w:val="clear" w:color="auto" w:fill="F3F6FB"/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sz w:val="19"/>
              </w:rPr>
              <w:t>☐</w:t>
            </w:r>
          </w:p>
        </w:tc>
        <w:tc>
          <w:tcPr>
            <w:tcW w:type="dxa" w:w="2160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