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pPr>
      <w:r>
        <w:rPr>
          <w:b/>
          <w:color w:val="0F172A"/>
          <w:sz w:val="40"/>
        </w:rPr>
        <w:t>St George Hospital Management System (HMS)</w:t>
      </w:r>
    </w:p>
    <w:p>
      <w:pPr>
        <w:spacing w:before="280" w:after="80"/>
      </w:pPr>
      <w:r>
        <w:rPr>
          <w:b/>
          <w:color w:val="0891B2"/>
          <w:sz w:val="30"/>
        </w:rPr>
        <w:t>Client Presentation Preparation Guide &amp; Technical Handbook</w:t>
      </w:r>
    </w:p>
    <w:p>
      <w:pPr>
        <w:spacing w:after="120"/>
      </w:pPr>
      <w:r>
        <w:t>This document is your preparation guide for demonstrating the St George HMS project to clients, stakeholders, or academic supervisors. It details exactly how the codebase is structured, how the data flows, how the security features work, and how the core modules address every concern in the project brief.</w:t>
      </w:r>
    </w:p>
    <w:p>
      <w:pPr>
        <w:pStyle w:val="ListBullet"/>
        <w:spacing w:after="60"/>
      </w:pPr>
      <w:r>
        <w:t>--</w:t>
      </w:r>
    </w:p>
    <w:p>
      <w:pPr>
        <w:spacing w:before="280" w:after="80"/>
      </w:pPr>
      <w:r>
        <w:rPr>
          <w:b/>
          <w:color w:val="0891B2"/>
          <w:sz w:val="30"/>
        </w:rPr>
        <w:t>🏛️ 1. Core Architecture &amp; Stack</w:t>
      </w:r>
    </w:p>
    <w:p>
      <w:pPr>
        <w:spacing w:after="120"/>
      </w:pPr>
      <w:r>
        <w:t xml:space="preserve">The application is structured into a clean, decoupled </w:t>
      </w:r>
      <w:r>
        <w:rPr>
          <w:b/>
        </w:rPr>
        <w:t>client-server-database</w:t>
      </w:r>
      <w:r>
        <w:t xml:space="preserve"> model. This is physically organized into </w:t>
      </w:r>
      <w:r>
        <w:rPr>
          <w:rFonts w:ascii="Courier New" w:hAnsi="Courier New"/>
          <w:color w:val="096D82"/>
          <w:sz w:val="19"/>
        </w:rPr>
        <w:t>frontend/</w:t>
      </w:r>
      <w:r>
        <w:t xml:space="preserve"> and </w:t>
      </w:r>
      <w:r>
        <w:rPr>
          <w:rFonts w:ascii="Courier New" w:hAnsi="Courier New"/>
          <w:color w:val="096D82"/>
          <w:sz w:val="19"/>
        </w:rPr>
        <w:t>backend/</w:t>
      </w:r>
      <w:r>
        <w:t xml:space="preserve"> folders to ensure code clarity.</w:t>
      </w:r>
    </w:p>
    <w:p>
      <w:pPr>
        <w:ind w:left="720"/>
      </w:pPr>
      <w:r>
        <w:rPr>
          <w:rFonts w:ascii="Courier New" w:hAnsi="Courier New"/>
          <w:color w:val="1E293B"/>
          <w:sz w:val="18"/>
        </w:rPr>
        <w:t xml:space="preserve">[ Frontend (Browser/PWA) ] </w:t>
        <w:br/>
        <w:t xml:space="preserve">       │ </w:t>
        <w:br/>
        <w:t xml:space="preserve">       ▼ (HTTP JSON API + CSRF Token Header)</w:t>
        <w:br/>
        <w:t>[ Backend (Node.js Server) ]</w:t>
        <w:br/>
        <w:t xml:space="preserve">       │ </w:t>
        <w:br/>
        <w:t xml:space="preserve">       ▼ (SQLite Sync Driver)</w:t>
        <w:br/>
        <w:t>[ Database (hospital.db) ]</w:t>
      </w:r>
    </w:p>
    <w:p>
      <w:pPr>
        <w:spacing w:before="200" w:after="40"/>
      </w:pPr>
      <w:r>
        <w:rPr>
          <w:b/>
          <w:color w:val="0F172A"/>
          <w:sz w:val="24"/>
        </w:rPr>
        <w:t>The Technology Stack</w:t>
      </w:r>
    </w:p>
    <w:p>
      <w:pPr>
        <w:pStyle w:val="ListNumber"/>
        <w:spacing w:after="60"/>
      </w:pPr>
      <w:r/>
      <w:r>
        <w:rPr>
          <w:b/>
        </w:rPr>
        <w:t>Frontend (UI Layer):</w:t>
      </w:r>
      <w:r>
        <w:t xml:space="preserve"> </w:t>
      </w:r>
    </w:p>
    <w:p>
      <w:pPr>
        <w:pStyle w:val="ListBullet"/>
        <w:spacing w:after="60"/>
      </w:pPr>
      <w:r/>
      <w:r>
        <w:rPr>
          <w:b/>
        </w:rPr>
        <w:t>Single-Page Application (SPA):</w:t>
      </w:r>
      <w:r>
        <w:t xml:space="preserve"> Renders views dynamically on a single HTML file ([</w:t>
      </w:r>
      <w:r>
        <w:rPr>
          <w:rFonts w:ascii="Courier New" w:hAnsi="Courier New"/>
          <w:color w:val="096D82"/>
          <w:sz w:val="19"/>
        </w:rPr>
        <w:t>frontend/index.html</w:t>
      </w:r>
      <w:r>
        <w:t>](file:///Users/tanmoymajumder/Desktop/st-george-hms/frontend/index.html)) by updating DOM sections via JavaScript ([</w:t>
      </w:r>
      <w:r>
        <w:rPr>
          <w:rFonts w:ascii="Courier New" w:hAnsi="Courier New"/>
          <w:color w:val="096D82"/>
          <w:sz w:val="19"/>
        </w:rPr>
        <w:t>frontend/app.js</w:t>
      </w:r>
      <w:r>
        <w:t>](file:///Users/tanmoymajumder/Desktop/st-george-hms/frontend/app.js)).</w:t>
      </w:r>
    </w:p>
    <w:p>
      <w:pPr>
        <w:pStyle w:val="ListBullet"/>
        <w:spacing w:after="60"/>
      </w:pPr>
      <w:r/>
      <w:r>
        <w:rPr>
          <w:b/>
        </w:rPr>
        <w:t>CSS Styling:</w:t>
      </w:r>
      <w:r>
        <w:t xml:space="preserve"> Airy teal-cyan theme (</w:t>
      </w:r>
      <w:r>
        <w:rPr>
          <w:rFonts w:ascii="Courier New" w:hAnsi="Courier New"/>
          <w:color w:val="096D82"/>
          <w:sz w:val="19"/>
        </w:rPr>
        <w:t>#0891b2</w:t>
      </w:r>
      <w:r>
        <w:t xml:space="preserve"> clinical teal, </w:t>
      </w:r>
      <w:r>
        <w:rPr>
          <w:rFonts w:ascii="Courier New" w:hAnsi="Courier New"/>
          <w:color w:val="096D82"/>
          <w:sz w:val="19"/>
        </w:rPr>
        <w:t>#f0fdfa</w:t>
      </w:r>
      <w:r>
        <w:t xml:space="preserve"> soft mint backgrounds) for high accessibility and premium typography.</w:t>
      </w:r>
    </w:p>
    <w:p>
      <w:pPr>
        <w:pStyle w:val="ListBullet"/>
        <w:spacing w:after="60"/>
      </w:pPr>
      <w:r/>
      <w:r>
        <w:rPr>
          <w:b/>
        </w:rPr>
        <w:t>Progressive Web App (PWA):</w:t>
      </w:r>
      <w:r>
        <w:t xml:space="preserve"> Equipped with a service worker (</w:t>
      </w:r>
      <w:r>
        <w:rPr>
          <w:rFonts w:ascii="Courier New" w:hAnsi="Courier New"/>
          <w:color w:val="096D82"/>
          <w:sz w:val="19"/>
        </w:rPr>
        <w:t>frontend/service-worker.js</w:t>
      </w:r>
      <w:r>
        <w:t>) to cache shell assets and a web manifest (</w:t>
      </w:r>
      <w:r>
        <w:rPr>
          <w:rFonts w:ascii="Courier New" w:hAnsi="Courier New"/>
          <w:color w:val="096D82"/>
          <w:sz w:val="19"/>
        </w:rPr>
        <w:t>frontend/manifest.webmanifest</w:t>
      </w:r>
      <w:r>
        <w:t>) to make it installable on mobile and desktop.</w:t>
      </w:r>
    </w:p>
    <w:p>
      <w:pPr>
        <w:pStyle w:val="ListNumber"/>
        <w:spacing w:after="60"/>
      </w:pPr>
      <w:r/>
      <w:r>
        <w:rPr>
          <w:b/>
        </w:rPr>
        <w:t>Backend (Service Layer):</w:t>
      </w:r>
      <w:r/>
    </w:p>
    <w:p>
      <w:pPr>
        <w:pStyle w:val="ListBullet"/>
        <w:spacing w:after="60"/>
      </w:pPr>
      <w:r/>
      <w:r>
        <w:rPr>
          <w:b/>
        </w:rPr>
        <w:t>Node.js Core HTTP:</w:t>
      </w:r>
      <w:r>
        <w:t xml:space="preserve"> Avoids heavy third-party server frameworks. Uses Node's built-in </w:t>
      </w:r>
      <w:r>
        <w:rPr>
          <w:rFonts w:ascii="Courier New" w:hAnsi="Courier New"/>
          <w:color w:val="096D82"/>
          <w:sz w:val="19"/>
        </w:rPr>
        <w:t>node:http</w:t>
      </w:r>
      <w:r>
        <w:t xml:space="preserve"> module to serve static files and route API payloads.</w:t>
      </w:r>
    </w:p>
    <w:p>
      <w:pPr>
        <w:pStyle w:val="ListBullet"/>
        <w:spacing w:after="60"/>
      </w:pPr>
      <w:r/>
      <w:r>
        <w:rPr>
          <w:b/>
        </w:rPr>
        <w:t>Security Libraries:</w:t>
      </w:r>
      <w:r>
        <w:t xml:space="preserve"> Uses built-in </w:t>
      </w:r>
      <w:r>
        <w:rPr>
          <w:rFonts w:ascii="Courier New" w:hAnsi="Courier New"/>
          <w:color w:val="096D82"/>
          <w:sz w:val="19"/>
        </w:rPr>
        <w:t>node:crypto</w:t>
      </w:r>
      <w:r>
        <w:t xml:space="preserve"> for slow salted hashing (scrypt) and AES-256 cipher operations.</w:t>
      </w:r>
    </w:p>
    <w:p>
      <w:pPr>
        <w:pStyle w:val="ListNumber"/>
        <w:spacing w:after="60"/>
      </w:pPr>
      <w:r/>
      <w:r>
        <w:rPr>
          <w:b/>
        </w:rPr>
        <w:t>Database (Storage Layer):</w:t>
      </w:r>
      <w:r/>
    </w:p>
    <w:p>
      <w:pPr>
        <w:pStyle w:val="ListBullet"/>
        <w:spacing w:after="60"/>
      </w:pPr>
      <w:r/>
      <w:r>
        <w:rPr>
          <w:b/>
        </w:rPr>
        <w:t>SQLite (DatabaseSync):</w:t>
      </w:r>
      <w:r>
        <w:t xml:space="preserve"> A centralized SQL database ([</w:t>
      </w:r>
      <w:r>
        <w:rPr>
          <w:rFonts w:ascii="Courier New" w:hAnsi="Courier New"/>
          <w:color w:val="096D82"/>
          <w:sz w:val="19"/>
        </w:rPr>
        <w:t>data/hospital.db</w:t>
      </w:r>
      <w:r>
        <w:t>](file:///Users/tanmoymajumder/Desktop/st-george-hms/data/hospital.db)) mapped directly to the local filesystem. Uses Write-Ahead Logging (WAL) for concurrent read-write support across branches.</w:t>
      </w:r>
    </w:p>
    <w:p>
      <w:pPr>
        <w:pStyle w:val="ListBullet"/>
        <w:spacing w:after="60"/>
      </w:pPr>
      <w:r>
        <w:t>--</w:t>
      </w:r>
    </w:p>
    <w:p>
      <w:pPr>
        <w:spacing w:before="280" w:after="80"/>
      </w:pPr>
      <w:r>
        <w:rPr>
          <w:b/>
          <w:color w:val="0891B2"/>
          <w:sz w:val="30"/>
        </w:rPr>
        <w:t>🔌 2. How the Frontend and Backend Communicate</w:t>
      </w:r>
    </w:p>
    <w:p>
      <w:pPr>
        <w:spacing w:after="120"/>
      </w:pPr>
      <w:r>
        <w:t xml:space="preserve">All data exchange occurs over </w:t>
      </w:r>
      <w:r>
        <w:rPr>
          <w:b/>
        </w:rPr>
        <w:t>HTTP REST APIs</w:t>
      </w:r>
      <w:r>
        <w:t xml:space="preserve"> exchanging JSON payloads. </w:t>
      </w:r>
    </w:p>
    <w:p>
      <w:pPr>
        <w:spacing w:before="200" w:after="40"/>
      </w:pPr>
      <w:r>
        <w:rPr>
          <w:b/>
          <w:color w:val="0F172A"/>
          <w:sz w:val="24"/>
        </w:rPr>
        <w:t>The Network Request Lifecycle</w:t>
      </w:r>
    </w:p>
    <w:p>
      <w:pPr>
        <w:pStyle w:val="ListNumber"/>
        <w:spacing w:after="60"/>
      </w:pPr>
      <w:r/>
      <w:r>
        <w:rPr>
          <w:b/>
        </w:rPr>
        <w:t>Trigger:</w:t>
      </w:r>
      <w:r>
        <w:t xml:space="preserve"> When a user interacts with the UI (e.g. clicking "Book Appointment"), the frontend calls </w:t>
      </w:r>
      <w:r>
        <w:rPr>
          <w:rFonts w:ascii="Courier New" w:hAnsi="Courier New"/>
          <w:color w:val="096D82"/>
          <w:sz w:val="19"/>
        </w:rPr>
        <w:t>apiRequest(url, options)</w:t>
      </w:r>
      <w:r>
        <w:t xml:space="preserve"> in [</w:t>
      </w:r>
      <w:r>
        <w:rPr>
          <w:rFonts w:ascii="Courier New" w:hAnsi="Courier New"/>
          <w:color w:val="096D82"/>
          <w:sz w:val="19"/>
        </w:rPr>
        <w:t>frontend/app.js</w:t>
      </w:r>
      <w:r>
        <w:t>](file:///Users/tanmoymajumder/Desktop/st-george-hms/frontend/app.js).</w:t>
      </w:r>
    </w:p>
    <w:p>
      <w:pPr>
        <w:pStyle w:val="ListNumber"/>
        <w:spacing w:after="60"/>
      </w:pPr>
      <w:r/>
      <w:r>
        <w:rPr>
          <w:b/>
        </w:rPr>
        <w:t>Security Checks:</w:t>
      </w:r>
      <w:r>
        <w:t xml:space="preserve"> </w:t>
      </w:r>
    </w:p>
    <w:p>
      <w:pPr>
        <w:pStyle w:val="ListBullet"/>
        <w:spacing w:after="60"/>
      </w:pPr>
      <w:r>
        <w:t>The browser attaches the session cookie automatically (</w:t>
      </w:r>
      <w:r>
        <w:rPr>
          <w:rFonts w:ascii="Courier New" w:hAnsi="Courier New"/>
          <w:color w:val="096D82"/>
          <w:sz w:val="19"/>
        </w:rPr>
        <w:t>credentials: 'same-origin'</w:t>
      </w:r>
      <w:r>
        <w:t>).</w:t>
      </w:r>
    </w:p>
    <w:p>
      <w:pPr>
        <w:pStyle w:val="ListBullet"/>
        <w:spacing w:after="60"/>
      </w:pPr>
      <w:r>
        <w:t>The client extracts the security CSRF token (</w:t>
      </w:r>
      <w:r>
        <w:rPr>
          <w:rFonts w:ascii="Courier New" w:hAnsi="Courier New"/>
          <w:color w:val="096D82"/>
          <w:sz w:val="19"/>
        </w:rPr>
        <w:t>state.csrfToken</w:t>
      </w:r>
      <w:r>
        <w:t xml:space="preserve">) and injects it into the request headers as </w:t>
      </w:r>
      <w:r>
        <w:rPr>
          <w:rFonts w:ascii="Courier New" w:hAnsi="Courier New"/>
          <w:color w:val="096D82"/>
          <w:sz w:val="19"/>
        </w:rPr>
        <w:t>X-CSRF-Token</w:t>
      </w:r>
      <w:r>
        <w:t xml:space="preserve"> to prevent Cross-Site Request Forgery.</w:t>
      </w:r>
    </w:p>
    <w:p>
      <w:pPr>
        <w:pStyle w:val="ListNumber"/>
        <w:spacing w:after="60"/>
      </w:pPr>
      <w:r/>
      <w:r>
        <w:rPr>
          <w:b/>
        </w:rPr>
        <w:t>Server Parsing:</w:t>
      </w:r>
      <w:r>
        <w:t xml:space="preserve"> The backend server (</w:t>
      </w:r>
      <w:r>
        <w:rPr>
          <w:rFonts w:ascii="Courier New" w:hAnsi="Courier New"/>
          <w:color w:val="096D82"/>
          <w:sz w:val="19"/>
        </w:rPr>
        <w:t>backend/server.js</w:t>
      </w:r>
      <w:r>
        <w:t>) intercepts the request, reads the HTTP body, and passes it to [</w:t>
      </w:r>
      <w:r>
        <w:rPr>
          <w:rFonts w:ascii="Courier New" w:hAnsi="Courier New"/>
          <w:color w:val="096D82"/>
          <w:sz w:val="19"/>
        </w:rPr>
        <w:t>backend/api.js</w:t>
      </w:r>
      <w:r>
        <w:t>](file:///Users/tanmoymajumder/Desktop/st-george-hms/backend/api.js).</w:t>
      </w:r>
    </w:p>
    <w:p>
      <w:pPr>
        <w:pStyle w:val="ListNumber"/>
        <w:spacing w:after="60"/>
      </w:pPr>
      <w:r/>
      <w:r>
        <w:rPr>
          <w:b/>
        </w:rPr>
        <w:t>RBAC Verification:</w:t>
      </w:r>
      <w:r>
        <w:t xml:space="preserve"> Before running database queries, the handler verifies the user's active session role using </w:t>
      </w:r>
      <w:r>
        <w:rPr>
          <w:rFonts w:ascii="Courier New" w:hAnsi="Courier New"/>
          <w:color w:val="096D82"/>
          <w:sz w:val="19"/>
        </w:rPr>
        <w:t>requireRole(req, session, allowedRoles)</w:t>
      </w:r>
      <w:r>
        <w:t>.</w:t>
      </w:r>
    </w:p>
    <w:p>
      <w:pPr>
        <w:pStyle w:val="ListNumber"/>
        <w:spacing w:after="60"/>
      </w:pPr>
      <w:r/>
      <w:r>
        <w:rPr>
          <w:b/>
        </w:rPr>
        <w:t>Database Transaction:</w:t>
      </w:r>
      <w:r>
        <w:t xml:space="preserve"> The query runs inside a secure transaction.</w:t>
      </w:r>
    </w:p>
    <w:p>
      <w:pPr>
        <w:pStyle w:val="ListNumber"/>
        <w:spacing w:after="60"/>
      </w:pPr>
      <w:r/>
      <w:r>
        <w:rPr>
          <w:b/>
        </w:rPr>
        <w:t>Reply &amp; Rendering:</w:t>
      </w:r>
      <w:r>
        <w:t xml:space="preserve"> The server converts the database rows into a JSON string and writes it back to the HTTP response. The browser JavaScript parses the JSON, updates </w:t>
      </w:r>
      <w:r>
        <w:rPr>
          <w:rFonts w:ascii="Courier New" w:hAnsi="Courier New"/>
          <w:color w:val="096D82"/>
          <w:sz w:val="19"/>
        </w:rPr>
        <w:t>state</w:t>
      </w:r>
      <w:r>
        <w:t>, and redraws the grid dashboard.</w:t>
      </w:r>
    </w:p>
    <w:p>
      <w:pPr>
        <w:pStyle w:val="ListBullet"/>
        <w:spacing w:after="60"/>
      </w:pPr>
      <w:r>
        <w:t>--</w:t>
      </w:r>
    </w:p>
    <w:p>
      <w:pPr>
        <w:spacing w:before="280" w:after="80"/>
      </w:pPr>
      <w:r>
        <w:rPr>
          <w:b/>
          <w:color w:val="0891B2"/>
          <w:sz w:val="30"/>
        </w:rPr>
        <w:t>🔒 3. Deep Dive: Security, Hashing &amp; Steganography</w:t>
      </w:r>
    </w:p>
    <w:p>
      <w:pPr>
        <w:spacing w:after="120"/>
      </w:pPr>
      <w:r>
        <w:t>This is the most technically complex part of the system and will likely attract the most questions.</w:t>
      </w:r>
    </w:p>
    <w:p>
      <w:pPr>
        <w:spacing w:before="200" w:after="40"/>
      </w:pPr>
      <w:r>
        <w:rPr>
          <w:b/>
          <w:color w:val="0F172A"/>
          <w:sz w:val="24"/>
        </w:rPr>
        <w:t>A. Salted Password Hashing (HIPAA/NIST Compliance)</w:t>
      </w:r>
    </w:p>
    <w:p>
      <w:pPr>
        <w:spacing w:after="120"/>
      </w:pPr>
      <w:r>
        <w:t>To prevent databases from storing readable passwords, we use a salted cryptosystem:</w:t>
      </w:r>
    </w:p>
    <w:p>
      <w:pPr>
        <w:pStyle w:val="ListNumber"/>
        <w:spacing w:after="60"/>
      </w:pPr>
      <w:r/>
      <w:r>
        <w:rPr>
          <w:b/>
        </w:rPr>
        <w:t>Salt Generation:</w:t>
      </w:r>
      <w:r>
        <w:t xml:space="preserve"> When creating a user, the system generates a unique 16-byte random salt using </w:t>
      </w:r>
      <w:r>
        <w:rPr>
          <w:rFonts w:ascii="Courier New" w:hAnsi="Courier New"/>
          <w:color w:val="096D82"/>
          <w:sz w:val="19"/>
        </w:rPr>
        <w:t>crypto.randomBytes(16)</w:t>
      </w:r>
      <w:r>
        <w:t>.</w:t>
      </w:r>
    </w:p>
    <w:p>
      <w:pPr>
        <w:pStyle w:val="ListNumber"/>
        <w:spacing w:after="60"/>
      </w:pPr>
      <w:r/>
      <w:r>
        <w:rPr>
          <w:b/>
        </w:rPr>
        <w:t>Key Derivation:</w:t>
      </w:r>
      <w:r>
        <w:t xml:space="preserve"> The password and salt are processed using </w:t>
      </w:r>
      <w:r>
        <w:rPr>
          <w:rFonts w:ascii="Courier New" w:hAnsi="Courier New"/>
          <w:color w:val="096D82"/>
          <w:sz w:val="19"/>
        </w:rPr>
        <w:t>crypto.scryptSync(password, salt, 64)</w:t>
      </w:r>
      <w:r>
        <w:t>. Scrypt is a CPU and memory-hard key derivation function specifically designed to resist brute-force hardware attacks.</w:t>
      </w:r>
    </w:p>
    <w:p>
      <w:pPr>
        <w:pStyle w:val="ListNumber"/>
        <w:spacing w:after="60"/>
      </w:pPr>
      <w:r/>
      <w:r>
        <w:rPr>
          <w:b/>
        </w:rPr>
        <w:t>Verification:</w:t>
      </w:r>
      <w:r>
        <w:t xml:space="preserve"> When logging in, the system retrieves the stored salt, hashes the input password with it, and compares the resulting hash using </w:t>
      </w:r>
      <w:r>
        <w:rPr>
          <w:rFonts w:ascii="Courier New" w:hAnsi="Courier New"/>
          <w:color w:val="096D82"/>
          <w:sz w:val="19"/>
        </w:rPr>
        <w:t>crypto.timingSafeEqual</w:t>
      </w:r>
      <w:r>
        <w:t xml:space="preserve">. This prevents </w:t>
      </w:r>
      <w:r>
        <w:rPr>
          <w:b/>
        </w:rPr>
        <w:t>timing attacks</w:t>
      </w:r>
      <w:r>
        <w:t xml:space="preserve"> (where an attacker guesses characters by measuring how long a verification takes).</w:t>
      </w:r>
    </w:p>
    <w:p>
      <w:pPr>
        <w:spacing w:before="200" w:after="40"/>
      </w:pPr>
      <w:r>
        <w:rPr>
          <w:b/>
          <w:color w:val="0F172A"/>
          <w:sz w:val="24"/>
        </w:rPr>
        <w:t>B. AES-256 and LSB Steganography (Page 3 Requirement)</w:t>
      </w:r>
    </w:p>
    <w:p>
      <w:pPr>
        <w:spacing w:after="120"/>
      </w:pPr>
      <w:r>
        <w:t>This feature visually demonstrates how confidential medical notes can be securely transmitted in plain sight.</w:t>
      </w:r>
    </w:p>
    <w:p>
      <w:pPr>
        <w:ind w:left="720"/>
      </w:pPr>
      <w:r>
        <w:rPr>
          <w:rFonts w:ascii="Courier New" w:hAnsi="Courier New"/>
          <w:color w:val="1E293B"/>
          <w:sz w:val="18"/>
        </w:rPr>
        <w:t xml:space="preserve">[Clinical Diagnosis] ──► [AES-256-CBC Encrypted Bytes] ──► [Converted to Bits] </w:t>
        <w:br/>
        <w:t xml:space="preserve">                                                                 │</w:t>
        <w:br/>
        <w:t xml:space="preserve">                                                                 ▼</w:t>
        <w:br/>
        <w:t>[Stego-Image Output] ◄── [LSB Pixel Insertion (RGB Channels)] ◄── [Hospital Logo Canvas]</w:t>
      </w:r>
    </w:p>
    <w:p>
      <w:pPr>
        <w:pStyle w:val="ListNumber"/>
        <w:spacing w:after="60"/>
      </w:pPr>
      <w:r/>
      <w:r>
        <w:rPr>
          <w:b/>
        </w:rPr>
        <w:t>The Input:</w:t>
      </w:r>
      <w:r>
        <w:t xml:space="preserve"> A Doctor writes a clinical report and types a decryption passphrase.</w:t>
      </w:r>
    </w:p>
    <w:p>
      <w:pPr>
        <w:pStyle w:val="ListNumber"/>
        <w:spacing w:after="60"/>
      </w:pPr>
      <w:r/>
      <w:r>
        <w:rPr>
          <w:b/>
        </w:rPr>
        <w:t>AES-256-CBC Encryption:</w:t>
      </w:r>
      <w:r>
        <w:t xml:space="preserve"> The backend uses the passphrase to derive a cryptosystem key (via Scrypt) and encrypts the text string. It returns the </w:t>
      </w:r>
      <w:r>
        <w:rPr>
          <w:rFonts w:ascii="Courier New" w:hAnsi="Courier New"/>
          <w:color w:val="096D82"/>
          <w:sz w:val="19"/>
        </w:rPr>
        <w:t>ciphertext</w:t>
      </w:r>
      <w:r>
        <w:t xml:space="preserve"> (in hex), the </w:t>
      </w:r>
      <w:r>
        <w:rPr>
          <w:rFonts w:ascii="Courier New" w:hAnsi="Courier New"/>
          <w:color w:val="096D82"/>
          <w:sz w:val="19"/>
        </w:rPr>
        <w:t>salt</w:t>
      </w:r>
      <w:r>
        <w:t xml:space="preserve">, and the </w:t>
      </w:r>
      <w:r>
        <w:rPr>
          <w:rFonts w:ascii="Courier New" w:hAnsi="Courier New"/>
          <w:color w:val="096D82"/>
          <w:sz w:val="19"/>
        </w:rPr>
        <w:t>iv</w:t>
      </w:r>
      <w:r>
        <w:t xml:space="preserve"> (initialization vector).</w:t>
      </w:r>
    </w:p>
    <w:p>
      <w:pPr>
        <w:pStyle w:val="ListNumber"/>
        <w:spacing w:after="60"/>
      </w:pPr>
      <w:r/>
      <w:r>
        <w:rPr>
          <w:b/>
        </w:rPr>
        <w:t>LSB Pixel Insertion:</w:t>
      </w:r>
      <w:r>
        <w:t xml:space="preserve"> </w:t>
      </w:r>
    </w:p>
    <w:p>
      <w:pPr>
        <w:pStyle w:val="ListBullet"/>
        <w:spacing w:after="60"/>
      </w:pPr>
      <w:r>
        <w:t xml:space="preserve">The frontend loads a St George emblem logo onto an HTML5 </w:t>
      </w:r>
      <w:r>
        <w:rPr>
          <w:rFonts w:ascii="Courier New" w:hAnsi="Courier New"/>
          <w:color w:val="096D82"/>
          <w:sz w:val="19"/>
        </w:rPr>
        <w:t>&lt;canvas&gt;</w:t>
      </w:r>
      <w:r>
        <w:t>.</w:t>
      </w:r>
    </w:p>
    <w:p>
      <w:pPr>
        <w:pStyle w:val="ListBullet"/>
        <w:spacing w:after="60"/>
      </w:pPr>
      <w:r>
        <w:t xml:space="preserve">It parses the </w:t>
      </w:r>
      <w:r>
        <w:rPr>
          <w:rFonts w:ascii="Courier New" w:hAnsi="Courier New"/>
          <w:color w:val="096D82"/>
          <w:sz w:val="19"/>
        </w:rPr>
        <w:t>{ ciphertext, salt, iv }</w:t>
      </w:r>
      <w:r>
        <w:t xml:space="preserve"> JSON metadata and converts it into a binary stream of bits (1s and 0s).</w:t>
      </w:r>
    </w:p>
    <w:p>
      <w:pPr>
        <w:pStyle w:val="ListBullet"/>
        <w:spacing w:after="60"/>
      </w:pPr>
      <w:r>
        <w:t>It appends a 16-bit terminal separator (</w:t>
      </w:r>
      <w:r>
        <w:rPr>
          <w:rFonts w:ascii="Courier New" w:hAnsi="Courier New"/>
          <w:color w:val="096D82"/>
          <w:sz w:val="19"/>
        </w:rPr>
        <w:t>0000000000000000</w:t>
      </w:r>
      <w:r>
        <w:t>).</w:t>
      </w:r>
    </w:p>
    <w:p>
      <w:pPr>
        <w:pStyle w:val="ListBullet"/>
        <w:spacing w:after="60"/>
      </w:pPr>
      <w:r>
        <w:t xml:space="preserve">It calls </w:t>
      </w:r>
      <w:r>
        <w:rPr>
          <w:rFonts w:ascii="Courier New" w:hAnsi="Courier New"/>
          <w:color w:val="096D82"/>
          <w:sz w:val="19"/>
        </w:rPr>
        <w:t>ctx.getImageData()</w:t>
      </w:r>
      <w:r>
        <w:t xml:space="preserve"> to extract the RGBA pixel array.</w:t>
      </w:r>
    </w:p>
    <w:p>
      <w:pPr>
        <w:pStyle w:val="ListBullet"/>
        <w:spacing w:after="60"/>
      </w:pPr>
      <w:r>
        <w:t xml:space="preserve">It loops through the pixels and hides the data bits inside the </w:t>
      </w:r>
      <w:r>
        <w:rPr>
          <w:b/>
        </w:rPr>
        <w:t>Least Significant Bit (LSB)</w:t>
      </w:r>
      <w:r>
        <w:t xml:space="preserve"> of the Red, Green, and Blue channels of each pixel (e.g., if a Red pixel value is 244 [binary </w:t>
      </w:r>
      <w:r>
        <w:rPr>
          <w:rFonts w:ascii="Courier New" w:hAnsi="Courier New"/>
          <w:color w:val="096D82"/>
          <w:sz w:val="19"/>
        </w:rPr>
        <w:t>11110100</w:t>
      </w:r>
      <w:r>
        <w:t xml:space="preserve">] and we want to hide a </w:t>
      </w:r>
      <w:r>
        <w:rPr>
          <w:rFonts w:ascii="Courier New" w:hAnsi="Courier New"/>
          <w:color w:val="096D82"/>
          <w:sz w:val="19"/>
        </w:rPr>
        <w:t>1</w:t>
      </w:r>
      <w:r>
        <w:t xml:space="preserve">, we change it to 245 [binary </w:t>
      </w:r>
      <w:r>
        <w:rPr>
          <w:rFonts w:ascii="Courier New" w:hAnsi="Courier New"/>
          <w:color w:val="096D82"/>
          <w:sz w:val="19"/>
        </w:rPr>
        <w:t>11110101</w:t>
      </w:r>
      <w:r>
        <w:t>]). Because the color change is only $1/255$, it is completely invisible to the human eye.</w:t>
      </w:r>
    </w:p>
    <w:p>
      <w:pPr>
        <w:pStyle w:val="ListBullet"/>
        <w:spacing w:after="60"/>
      </w:pPr>
      <w:r>
        <w:t xml:space="preserve">It saves the canvas as a lossless </w:t>
      </w:r>
      <w:r>
        <w:rPr>
          <w:rFonts w:ascii="Courier New" w:hAnsi="Courier New"/>
          <w:color w:val="096D82"/>
          <w:sz w:val="19"/>
        </w:rPr>
        <w:t>.png</w:t>
      </w:r>
      <w:r>
        <w:t xml:space="preserve"> (lossy formats like </w:t>
      </w:r>
      <w:r>
        <w:rPr>
          <w:rFonts w:ascii="Courier New" w:hAnsi="Courier New"/>
          <w:color w:val="096D82"/>
          <w:sz w:val="19"/>
        </w:rPr>
        <w:t>.jpg</w:t>
      </w:r>
      <w:r>
        <w:t xml:space="preserve"> discard LSB data).</w:t>
      </w:r>
    </w:p>
    <w:p>
      <w:pPr>
        <w:pStyle w:val="ListNumber"/>
        <w:spacing w:after="60"/>
      </w:pPr>
      <w:r/>
      <w:r>
        <w:rPr>
          <w:b/>
        </w:rPr>
        <w:t>Extraction &amp; Recovery:</w:t>
      </w:r>
      <w:r/>
    </w:p>
    <w:p>
      <w:pPr>
        <w:pStyle w:val="ListBullet"/>
        <w:spacing w:after="60"/>
      </w:pPr>
      <w:r>
        <w:t>When the stego-image is uploaded, the extractor reads the canvas pixel channels.</w:t>
      </w:r>
    </w:p>
    <w:p>
      <w:pPr>
        <w:pStyle w:val="ListBullet"/>
        <w:spacing w:after="60"/>
      </w:pPr>
      <w:r>
        <w:t xml:space="preserve">It extracts the LSB bit of each color channel sequentially until it encounters 16 consecutive </w:t>
      </w:r>
      <w:r>
        <w:rPr>
          <w:rFonts w:ascii="Courier New" w:hAnsi="Courier New"/>
          <w:color w:val="096D82"/>
          <w:sz w:val="19"/>
        </w:rPr>
        <w:t>0</w:t>
      </w:r>
      <w:r>
        <w:t>s (our delimiter).</w:t>
      </w:r>
    </w:p>
    <w:p>
      <w:pPr>
        <w:pStyle w:val="ListBullet"/>
        <w:spacing w:after="60"/>
      </w:pPr>
      <w:r>
        <w:t xml:space="preserve">It converts the bits back into bytes, reconstructs the JSON ciphertext packet, and calls the backend </w:t>
      </w:r>
      <w:r>
        <w:rPr>
          <w:rFonts w:ascii="Courier New" w:hAnsi="Courier New"/>
          <w:color w:val="096D82"/>
          <w:sz w:val="19"/>
        </w:rPr>
        <w:t>/api/clinical/stego/decrypt</w:t>
      </w:r>
      <w:r>
        <w:t xml:space="preserve"> route to decrypt it back to the original clinical report.</w:t>
      </w:r>
    </w:p>
    <w:p>
      <w:pPr>
        <w:pStyle w:val="ListBullet"/>
        <w:spacing w:after="60"/>
      </w:pPr>
      <w:r>
        <w:t>--</w:t>
      </w:r>
    </w:p>
    <w:p>
      <w:pPr>
        <w:spacing w:before="280" w:after="80"/>
      </w:pPr>
      <w:r>
        <w:rPr>
          <w:b/>
          <w:color w:val="0891B2"/>
          <w:sz w:val="30"/>
        </w:rPr>
        <w:t>📶 4. Resiliency: PWA &amp; Offline Synchronization</w:t>
      </w:r>
    </w:p>
    <w:p>
      <w:pPr>
        <w:spacing w:after="120"/>
      </w:pPr>
      <w:r>
        <w:t>The PWA is designed to handle hospital network dropouts:</w:t>
      </w:r>
    </w:p>
    <w:p>
      <w:pPr>
        <w:pStyle w:val="ListNumber"/>
        <w:spacing w:after="60"/>
      </w:pPr>
      <w:r/>
      <w:r>
        <w:rPr>
          <w:b/>
        </w:rPr>
        <w:t>PWA Caching:</w:t>
      </w:r>
      <w:r>
        <w:t xml:space="preserve"> The service worker intercepts browser requests. If the network is offline, it serves static files directly from the browser cache, ensuring the UI still loads.</w:t>
      </w:r>
    </w:p>
    <w:p>
      <w:pPr>
        <w:pStyle w:val="ListNumber"/>
        <w:spacing w:after="60"/>
      </w:pPr>
      <w:r/>
      <w:r>
        <w:rPr>
          <w:b/>
        </w:rPr>
        <w:t>Offline Mutation Queue:</w:t>
      </w:r>
      <w:r/>
    </w:p>
    <w:p>
      <w:pPr>
        <w:pStyle w:val="ListBullet"/>
        <w:spacing w:after="60"/>
      </w:pPr>
      <w:r>
        <w:t xml:space="preserve">When a user submits a form (e.g. registering a patient) while offline, </w:t>
      </w:r>
      <w:r>
        <w:rPr>
          <w:rFonts w:ascii="Courier New" w:hAnsi="Courier New"/>
          <w:color w:val="096D82"/>
          <w:sz w:val="19"/>
        </w:rPr>
        <w:t>apiRequest()</w:t>
      </w:r>
      <w:r>
        <w:t xml:space="preserve"> catches the network error.</w:t>
      </w:r>
    </w:p>
    <w:p>
      <w:pPr>
        <w:pStyle w:val="ListBullet"/>
        <w:spacing w:after="60"/>
      </w:pPr>
      <w:r>
        <w:t xml:space="preserve">Instead of failing, it serializes the request action and appends it to a sync queue in the browser's persistent </w:t>
      </w:r>
      <w:r>
        <w:rPr>
          <w:rFonts w:ascii="Courier New" w:hAnsi="Courier New"/>
          <w:color w:val="096D82"/>
          <w:sz w:val="19"/>
        </w:rPr>
        <w:t>localStorage</w:t>
      </w:r>
      <w:r>
        <w:t xml:space="preserve"> (</w:t>
      </w:r>
      <w:r>
        <w:rPr>
          <w:rFonts w:ascii="Courier New" w:hAnsi="Courier New"/>
          <w:color w:val="096D82"/>
          <w:sz w:val="19"/>
        </w:rPr>
        <w:t>st_george_hms_sync_queue</w:t>
      </w:r>
      <w:r>
        <w:t>).</w:t>
      </w:r>
    </w:p>
    <w:p>
      <w:pPr>
        <w:pStyle w:val="ListBullet"/>
        <w:spacing w:after="60"/>
      </w:pPr>
      <w:r>
        <w:t>It updates the UI to show a toast message: *"Offline. Your changes have been queued locally."*</w:t>
      </w:r>
    </w:p>
    <w:p>
      <w:pPr>
        <w:pStyle w:val="ListNumber"/>
        <w:spacing w:after="60"/>
      </w:pPr>
      <w:r/>
      <w:r>
        <w:rPr>
          <w:b/>
        </w:rPr>
        <w:t>Auto-Sync on Reconnect:</w:t>
      </w:r>
      <w:r/>
    </w:p>
    <w:p>
      <w:pPr>
        <w:pStyle w:val="ListBullet"/>
        <w:spacing w:after="60"/>
      </w:pPr>
      <w:r>
        <w:t>The frontend listens to browser network state changes.</w:t>
      </w:r>
    </w:p>
    <w:p>
      <w:pPr>
        <w:pStyle w:val="ListBullet"/>
        <w:spacing w:after="60"/>
      </w:pPr>
      <w:r>
        <w:t xml:space="preserve">When the network comes back online, the app triggers </w:t>
      </w:r>
      <w:r>
        <w:rPr>
          <w:rFonts w:ascii="Courier New" w:hAnsi="Courier New"/>
          <w:color w:val="096D82"/>
          <w:sz w:val="19"/>
        </w:rPr>
        <w:t>syncOfflineActions()</w:t>
      </w:r>
      <w:r>
        <w:t>.</w:t>
      </w:r>
    </w:p>
    <w:p>
      <w:pPr>
        <w:pStyle w:val="ListBullet"/>
        <w:spacing w:after="60"/>
      </w:pPr>
      <w:r>
        <w:t>It replays the queued requests sequentially to the backend server, updates the local SQLite database, clears the queue, and shows a green toast: *"Network restored. Synced queued changes successfully!"*</w:t>
      </w:r>
    </w:p>
    <w:p>
      <w:pPr>
        <w:pStyle w:val="ListBullet"/>
        <w:spacing w:after="60"/>
      </w:pPr>
      <w:r>
        <w:t>--</w:t>
      </w:r>
    </w:p>
    <w:p>
      <w:pPr>
        <w:spacing w:before="280" w:after="80"/>
      </w:pPr>
      <w:r>
        <w:rPr>
          <w:b/>
          <w:color w:val="0891B2"/>
          <w:sz w:val="30"/>
        </w:rPr>
        <w:t>💬 5. Presenting to the Clients (Typical Q&amp;A Prep)</w:t>
      </w:r>
    </w:p>
    <w:p>
      <w:pPr>
        <w:spacing w:after="120"/>
      </w:pPr>
      <w:r>
        <w:t>Here are the most common questions clients or evaluators will ask, along with the precise answers you should give:</w:t>
      </w:r>
    </w:p>
    <w:p>
      <w:pPr>
        <w:spacing w:before="200" w:after="40"/>
      </w:pPr>
      <w:r>
        <w:rPr>
          <w:b/>
          <w:color w:val="0F172A"/>
          <w:sz w:val="24"/>
        </w:rPr>
        <w:t>Q1: How does the system handle patient privacy and HIPAA compliance?</w:t>
      </w:r>
    </w:p>
    <w:p>
      <w:pPr>
        <w:spacing w:before="200" w:after="40"/>
      </w:pPr>
      <w:r>
        <w:rPr>
          <w:b/>
          <w:color w:val="0F172A"/>
          <w:sz w:val="24"/>
        </w:rPr>
        <w:t>Q2: What happens if a doctor is inputting clinical logs and the hospital's internet connection drops out?</w:t>
      </w:r>
    </w:p>
    <w:p>
      <w:pPr>
        <w:spacing w:before="200" w:after="40"/>
      </w:pPr>
      <w:r>
        <w:rPr>
          <w:b/>
          <w:color w:val="0F172A"/>
          <w:sz w:val="24"/>
        </w:rPr>
        <w:t>Q3: How do you prevent two patients from booking the same doctor at the same time?</w:t>
      </w:r>
    </w:p>
    <w:p>
      <w:pPr>
        <w:spacing w:before="200" w:after="40"/>
      </w:pPr>
      <w:r>
        <w:rPr>
          <w:b/>
          <w:color w:val="0F172A"/>
          <w:sz w:val="24"/>
        </w:rPr>
        <w:t>Q4: Why did you choose SQLite for a multi-branch system rather than a server database like MySQL or PostgreSQL?</w:t>
      </w:r>
    </w:p>
    <w:p>
      <w:pPr>
        <w:spacing w:before="200" w:after="40"/>
      </w:pPr>
      <w:r>
        <w:rPr>
          <w:b/>
          <w:color w:val="0F172A"/>
          <w:sz w:val="24"/>
        </w:rPr>
        <w:t>Q5: How do we extract or compile data for reporting?</w:t>
      </w:r>
    </w:p>
    <w:p>
      <w:pPr>
        <w:spacing w:before="200" w:after="40"/>
      </w:pPr>
      <w:r>
        <w:rPr>
          <w:b/>
          <w:color w:val="0F172A"/>
          <w:sz w:val="24"/>
        </w:rPr>
        <w:t>Q6: How does the system handle Patient Feedback, Sentiment Analysis, and Automated Insights (FR47, FR48)?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