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E6B3" w14:textId="67D374BA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t xml:space="preserve">Affordable housing is that which will not cost a person more than 30% of their annual income. </w:t>
      </w:r>
      <w:r w:rsidRPr="001209DF">
        <w:rPr>
          <w:rFonts w:ascii="Times New Roman" w:hAnsi="Times New Roman" w:cs="Times New Roman"/>
          <w:sz w:val="23"/>
          <w:szCs w:val="23"/>
        </w:rPr>
        <w:t>The United</w:t>
      </w:r>
      <w:r w:rsidRPr="001209DF">
        <w:rPr>
          <w:rFonts w:ascii="Times New Roman" w:hAnsi="Times New Roman" w:cs="Times New Roman"/>
          <w:sz w:val="23"/>
          <w:szCs w:val="23"/>
        </w:rPr>
        <w:t xml:space="preserve"> States Department of Housing and Urban Development has identified that the 2022 </w:t>
      </w:r>
      <w:r w:rsidRPr="001209DF">
        <w:rPr>
          <w:rFonts w:ascii="Times New Roman" w:hAnsi="Times New Roman" w:cs="Times New Roman"/>
          <w:sz w:val="23"/>
          <w:szCs w:val="23"/>
        </w:rPr>
        <w:t>Median Area</w:t>
      </w:r>
      <w:r w:rsidRPr="001209DF">
        <w:rPr>
          <w:rFonts w:ascii="Times New Roman" w:hAnsi="Times New Roman" w:cs="Times New Roman"/>
          <w:sz w:val="23"/>
          <w:szCs w:val="23"/>
        </w:rPr>
        <w:t xml:space="preserve"> Income for the State of Florida for a family of four is $78,300. This is overall a great sign </w:t>
      </w:r>
      <w:r w:rsidRPr="001209DF">
        <w:rPr>
          <w:rFonts w:ascii="Times New Roman" w:hAnsi="Times New Roman" w:cs="Times New Roman"/>
          <w:sz w:val="23"/>
          <w:szCs w:val="23"/>
        </w:rPr>
        <w:t>for Florida’s</w:t>
      </w:r>
      <w:r w:rsidRPr="001209DF">
        <w:rPr>
          <w:rFonts w:ascii="Times New Roman" w:hAnsi="Times New Roman" w:cs="Times New Roman"/>
          <w:sz w:val="23"/>
          <w:szCs w:val="23"/>
        </w:rPr>
        <w:t xml:space="preserve"> economy. Half of Floridian’s make above that annual income, half below. As the cost </w:t>
      </w:r>
      <w:r w:rsidRPr="001209DF">
        <w:rPr>
          <w:rFonts w:ascii="Times New Roman" w:hAnsi="Times New Roman" w:cs="Times New Roman"/>
          <w:sz w:val="23"/>
          <w:szCs w:val="23"/>
        </w:rPr>
        <w:t>of housing</w:t>
      </w:r>
      <w:r w:rsidRPr="001209DF">
        <w:rPr>
          <w:rFonts w:ascii="Times New Roman" w:hAnsi="Times New Roman" w:cs="Times New Roman"/>
          <w:sz w:val="23"/>
          <w:szCs w:val="23"/>
        </w:rPr>
        <w:t xml:space="preserve"> has risen, the half below that annual income has had difficulty affording a place to </w:t>
      </w:r>
      <w:r w:rsidRPr="001209DF">
        <w:rPr>
          <w:rFonts w:ascii="Times New Roman" w:hAnsi="Times New Roman" w:cs="Times New Roman"/>
          <w:sz w:val="23"/>
          <w:szCs w:val="23"/>
        </w:rPr>
        <w:t>live. Florida</w:t>
      </w:r>
      <w:r w:rsidRPr="001209DF">
        <w:rPr>
          <w:rFonts w:ascii="Times New Roman" w:hAnsi="Times New Roman" w:cs="Times New Roman"/>
          <w:sz w:val="23"/>
          <w:szCs w:val="23"/>
        </w:rPr>
        <w:t xml:space="preserve"> considers various income levels to determine what is “affordable:”</w:t>
      </w:r>
    </w:p>
    <w:p w14:paraId="4CE025BC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t xml:space="preserve">Extremely low income: earning up to 30% AMI (for Florida, up to $23,500) </w:t>
      </w:r>
    </w:p>
    <w:p w14:paraId="4E148CCA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1209DF">
        <w:rPr>
          <w:rFonts w:ascii="Times New Roman" w:hAnsi="Times New Roman" w:cs="Times New Roman"/>
          <w:sz w:val="23"/>
          <w:szCs w:val="23"/>
        </w:rPr>
        <w:t>Very low</w:t>
      </w:r>
      <w:proofErr w:type="gramEnd"/>
      <w:r w:rsidRPr="001209DF">
        <w:rPr>
          <w:rFonts w:ascii="Times New Roman" w:hAnsi="Times New Roman" w:cs="Times New Roman"/>
          <w:sz w:val="23"/>
          <w:szCs w:val="23"/>
        </w:rPr>
        <w:t xml:space="preserve"> income: earning from 30% to 50% AMI (for Florida, between $23,501 and $39,150) </w:t>
      </w:r>
    </w:p>
    <w:p w14:paraId="056A0604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t xml:space="preserve">Low income: earning from 50% to 80% AMI (for Florida, between $39,151 and $62,650) </w:t>
      </w:r>
    </w:p>
    <w:p w14:paraId="68A671E2" w14:textId="3F533866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t xml:space="preserve">Moderate income: earning from 80% to 120% AMI (for Florida, between $62,651 and $94,000) </w:t>
      </w:r>
    </w:p>
    <w:p w14:paraId="13C3421D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46BC8E9" w14:textId="111C9CD5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t xml:space="preserve">Consider that the average pay for a public-school teacher in our state is approximately $53,000, </w:t>
      </w:r>
      <w:r w:rsidRPr="001209DF">
        <w:rPr>
          <w:rFonts w:ascii="Times New Roman" w:hAnsi="Times New Roman" w:cs="Times New Roman"/>
          <w:sz w:val="23"/>
          <w:szCs w:val="23"/>
        </w:rPr>
        <w:t>that puts</w:t>
      </w:r>
      <w:r w:rsidRPr="001209DF">
        <w:rPr>
          <w:rFonts w:ascii="Times New Roman" w:hAnsi="Times New Roman" w:cs="Times New Roman"/>
          <w:sz w:val="23"/>
          <w:szCs w:val="23"/>
        </w:rPr>
        <w:t xml:space="preserve"> them in the low-income category. Similarly, the average salary for a Firefighter II is approximately$60,000 and for a police officer $55,000. As an example, then, a police officer and teacher with </w:t>
      </w:r>
      <w:r w:rsidRPr="001209DF">
        <w:rPr>
          <w:rFonts w:ascii="Times New Roman" w:hAnsi="Times New Roman" w:cs="Times New Roman"/>
          <w:sz w:val="23"/>
          <w:szCs w:val="23"/>
        </w:rPr>
        <w:t>two children</w:t>
      </w:r>
      <w:r w:rsidRPr="001209DF">
        <w:rPr>
          <w:rFonts w:ascii="Times New Roman" w:hAnsi="Times New Roman" w:cs="Times New Roman"/>
          <w:sz w:val="23"/>
          <w:szCs w:val="23"/>
        </w:rPr>
        <w:t xml:space="preserve"> would be making $108,000 per year. For their housing to be affordable for that family of </w:t>
      </w:r>
      <w:r w:rsidRPr="001209DF">
        <w:rPr>
          <w:rFonts w:ascii="Times New Roman" w:hAnsi="Times New Roman" w:cs="Times New Roman"/>
          <w:sz w:val="23"/>
          <w:szCs w:val="23"/>
        </w:rPr>
        <w:t>four, they</w:t>
      </w:r>
      <w:r w:rsidRPr="001209DF">
        <w:rPr>
          <w:rFonts w:ascii="Times New Roman" w:hAnsi="Times New Roman" w:cs="Times New Roman"/>
          <w:sz w:val="23"/>
          <w:szCs w:val="23"/>
        </w:rPr>
        <w:t xml:space="preserve"> should not need to spend more than $32,400 per year – $2,700 per month – on housing. </w:t>
      </w:r>
      <w:r w:rsidRPr="001209DF">
        <w:rPr>
          <w:rFonts w:ascii="Times New Roman" w:hAnsi="Times New Roman" w:cs="Times New Roman"/>
          <w:sz w:val="23"/>
          <w:szCs w:val="23"/>
        </w:rPr>
        <w:t>The reality</w:t>
      </w:r>
      <w:r w:rsidRPr="001209DF">
        <w:rPr>
          <w:rFonts w:ascii="Times New Roman" w:hAnsi="Times New Roman" w:cs="Times New Roman"/>
          <w:sz w:val="23"/>
          <w:szCs w:val="23"/>
        </w:rPr>
        <w:t xml:space="preserve"> in Florida is that housing in that range is simply not available.</w:t>
      </w:r>
    </w:p>
    <w:p w14:paraId="46077C5E" w14:textId="21891DB5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t xml:space="preserve">The question has </w:t>
      </w:r>
      <w:proofErr w:type="gramStart"/>
      <w:r w:rsidRPr="001209DF">
        <w:rPr>
          <w:rFonts w:ascii="Times New Roman" w:hAnsi="Times New Roman" w:cs="Times New Roman"/>
          <w:sz w:val="23"/>
          <w:szCs w:val="23"/>
        </w:rPr>
        <w:t>been raised</w:t>
      </w:r>
      <w:proofErr w:type="gramEnd"/>
      <w:r w:rsidRPr="001209DF">
        <w:rPr>
          <w:rFonts w:ascii="Times New Roman" w:hAnsi="Times New Roman" w:cs="Times New Roman"/>
          <w:sz w:val="23"/>
          <w:szCs w:val="23"/>
        </w:rPr>
        <w:t xml:space="preserve"> as to how to help make housing more affordable for all </w:t>
      </w:r>
      <w:r w:rsidRPr="001209DF">
        <w:rPr>
          <w:rFonts w:ascii="Times New Roman" w:hAnsi="Times New Roman" w:cs="Times New Roman"/>
          <w:sz w:val="23"/>
          <w:szCs w:val="23"/>
        </w:rPr>
        <w:t>Floridians. Florida</w:t>
      </w:r>
      <w:r w:rsidRPr="001209DF">
        <w:rPr>
          <w:rFonts w:ascii="Times New Roman" w:hAnsi="Times New Roman" w:cs="Times New Roman"/>
          <w:sz w:val="23"/>
          <w:szCs w:val="23"/>
        </w:rPr>
        <w:t xml:space="preserve"> Senate President Passidomo made it a priority in the 2023 legislative session to try to </w:t>
      </w:r>
      <w:r w:rsidRPr="001209DF">
        <w:rPr>
          <w:rFonts w:ascii="Times New Roman" w:hAnsi="Times New Roman" w:cs="Times New Roman"/>
          <w:sz w:val="23"/>
          <w:szCs w:val="23"/>
        </w:rPr>
        <w:t>help answer</w:t>
      </w:r>
      <w:r w:rsidRPr="001209DF">
        <w:rPr>
          <w:rFonts w:ascii="Times New Roman" w:hAnsi="Times New Roman" w:cs="Times New Roman"/>
          <w:sz w:val="23"/>
          <w:szCs w:val="23"/>
        </w:rPr>
        <w:t xml:space="preserve"> this question. The result is Senate Bill 102, the Live Local Act, Governor </w:t>
      </w:r>
      <w:r w:rsidRPr="001209DF">
        <w:rPr>
          <w:rFonts w:ascii="Times New Roman" w:hAnsi="Times New Roman" w:cs="Times New Roman"/>
          <w:sz w:val="23"/>
          <w:szCs w:val="23"/>
        </w:rPr>
        <w:t>DeSantis</w:t>
      </w:r>
      <w:r w:rsidRPr="001209DF">
        <w:rPr>
          <w:rFonts w:ascii="Times New Roman" w:hAnsi="Times New Roman" w:cs="Times New Roman"/>
          <w:sz w:val="23"/>
          <w:szCs w:val="23"/>
        </w:rPr>
        <w:t xml:space="preserve"> signed </w:t>
      </w:r>
      <w:r w:rsidRPr="001209DF">
        <w:rPr>
          <w:rFonts w:ascii="Times New Roman" w:hAnsi="Times New Roman" w:cs="Times New Roman"/>
          <w:sz w:val="23"/>
          <w:szCs w:val="23"/>
        </w:rPr>
        <w:t>into law</w:t>
      </w:r>
      <w:r w:rsidRPr="001209DF">
        <w:rPr>
          <w:rFonts w:ascii="Times New Roman" w:hAnsi="Times New Roman" w:cs="Times New Roman"/>
          <w:sz w:val="23"/>
          <w:szCs w:val="23"/>
        </w:rPr>
        <w:t xml:space="preserve"> on March 29, 2023. The provisions become law on July 1, 2023, with </w:t>
      </w:r>
      <w:proofErr w:type="gramStart"/>
      <w:r w:rsidRPr="001209DF">
        <w:rPr>
          <w:rFonts w:ascii="Times New Roman" w:hAnsi="Times New Roman" w:cs="Times New Roman"/>
          <w:sz w:val="23"/>
          <w:szCs w:val="23"/>
        </w:rPr>
        <w:t>some</w:t>
      </w:r>
      <w:proofErr w:type="gramEnd"/>
      <w:r w:rsidRPr="001209DF">
        <w:rPr>
          <w:rFonts w:ascii="Times New Roman" w:hAnsi="Times New Roman" w:cs="Times New Roman"/>
          <w:sz w:val="23"/>
          <w:szCs w:val="23"/>
        </w:rPr>
        <w:t xml:space="preserve"> minor exceptions.</w:t>
      </w:r>
    </w:p>
    <w:p w14:paraId="7B93F70D" w14:textId="77777777" w:rsidR="001209DF" w:rsidRPr="001209DF" w:rsidRDefault="001209DF" w:rsidP="001209DF">
      <w:pPr>
        <w:pStyle w:val="Default"/>
        <w:pageBreakBefore/>
        <w:rPr>
          <w:rFonts w:ascii="Times New Roman" w:hAnsi="Times New Roman" w:cs="Times New Roman"/>
          <w:color w:val="auto"/>
          <w:sz w:val="16"/>
          <w:szCs w:val="16"/>
        </w:rPr>
      </w:pPr>
    </w:p>
    <w:p w14:paraId="7679A501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16"/>
          <w:szCs w:val="16"/>
        </w:rPr>
      </w:pPr>
    </w:p>
    <w:p w14:paraId="33BC1E29" w14:textId="48D0F3F7" w:rsidR="001209DF" w:rsidRPr="001209DF" w:rsidRDefault="001209DF" w:rsidP="001209D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INTRODUCTION:</w:t>
      </w:r>
    </w:p>
    <w:p w14:paraId="1F196B80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16"/>
          <w:szCs w:val="16"/>
        </w:rPr>
      </w:pPr>
    </w:p>
    <w:p w14:paraId="52DDDC0B" w14:textId="76F37BF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The Live Local Act includes amendments to multiple provisions of Florida Statutes related to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the development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of affordable housing and economic incentives to do so.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Some of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the critical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elements for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developers and builders are discussed below.</w:t>
      </w:r>
    </w:p>
    <w:p w14:paraId="5C79061D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ADC2BA1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br w:type="page"/>
      </w:r>
    </w:p>
    <w:p w14:paraId="4B829EF2" w14:textId="4378A750" w:rsidR="001209DF" w:rsidRPr="001209DF" w:rsidRDefault="001209DF" w:rsidP="001209DF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PATHWAY OPTION 1: 10% AFFORDABLE UNITS</w:t>
      </w:r>
    </w:p>
    <w:p w14:paraId="6D4B2842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44F60F9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>Amendments to Chapter 125 (Counties) and Chapter 166 (Municipalities)</w:t>
      </w:r>
    </w:p>
    <w:p w14:paraId="1447F52B" w14:textId="4B282CD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Sections 125.01055(6) and 166.04151(6) were amended to provide that a county/municipality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is allowed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to approve affordable housing (as defined in 420.0004, Florida Statutes)[1] that is part of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admixed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-use residential development on any parcel that is zoned for commercial or industrial use,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so long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as at least 10% of the units included are affordable. This removes the allowance on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properties zoned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for residential use. This amendment also removes the prior requirement that the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developer not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apply for or receive funding under Section 420.5087.[2]</w:t>
      </w:r>
    </w:p>
    <w:p w14:paraId="4FEBAF4C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860E4A6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br w:type="page"/>
      </w:r>
    </w:p>
    <w:p w14:paraId="783087B2" w14:textId="76F76133" w:rsidR="001209DF" w:rsidRPr="001209DF" w:rsidRDefault="001209DF" w:rsidP="001209DF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PATHWAY OPTION </w:t>
      </w: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t>0% AFFORDABLE UNITS</w:t>
      </w:r>
    </w:p>
    <w:p w14:paraId="78D2BE3B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7953BC1" w14:textId="5DDB75B0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Sections 125.01055(7) and 166.04151(7) create identical provisions specific to developments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that include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at least 40% of the residential units for rent </w:t>
      </w:r>
      <w:proofErr w:type="gramStart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are restricted</w:t>
      </w:r>
      <w:proofErr w:type="gramEnd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as affordable for at least 30 years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(the “40% Requirement”). Id. at (7)(a). In such cases, where the 40% Requirement </w:t>
      </w:r>
      <w:proofErr w:type="gramStart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is met</w:t>
      </w:r>
      <w:proofErr w:type="gramEnd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the county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/municipality: </w:t>
      </w:r>
    </w:p>
    <w:p w14:paraId="23221961" w14:textId="39B062C2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Must authorize multi-family and mixed-use residential (where at least 65% of the total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square footage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is used for residential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purposes[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3]) in any area zoned for commercial, industrial,[4]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or mixed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uses;[5] Id. </w:t>
      </w:r>
    </w:p>
    <w:p w14:paraId="6E3475E7" w14:textId="72EC967B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May not require zoning or land use changes, special exceptions or conditional use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approvals, variances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, or comprehensive plan amendments for height, zoning or </w:t>
      </w:r>
      <w:proofErr w:type="gramStart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density;</w:t>
      </w:r>
      <w:proofErr w:type="gramEnd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Id. </w:t>
      </w:r>
    </w:p>
    <w:p w14:paraId="6D9C0CAF" w14:textId="31189013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May not limit density of a development below the highest density allowed in the </w:t>
      </w:r>
      <w:proofErr w:type="gramStart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jurisdiction</w:t>
      </w:r>
      <w:proofErr w:type="gramEnd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where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residential density is allowed; Id. at (7)(b). </w:t>
      </w:r>
    </w:p>
    <w:p w14:paraId="169F99D3" w14:textId="7D0C5349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May not restrict the height below the highest allowed for either commercial or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residential development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within the jurisdiction, within one mile of the proposed development, or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three stories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, whichever is </w:t>
      </w:r>
      <w:proofErr w:type="gramStart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higher;</w:t>
      </w:r>
      <w:proofErr w:type="gramEnd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Id. at (7)(c). </w:t>
      </w:r>
    </w:p>
    <w:p w14:paraId="03DCFE0F" w14:textId="5E2E51CE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Must administratively approve – without public hearings or meetings – if the regulations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appli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c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able to multifamily development in areas zoned for that use </w:t>
      </w:r>
      <w:proofErr w:type="gramStart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are met</w:t>
      </w:r>
      <w:proofErr w:type="gramEnd"/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(including, but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not limited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to, setbacks and parking) and is “otherwise consistent with the comprehensive 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>plan, “except</w:t>
      </w:r>
      <w:r w:rsidRPr="001209DF">
        <w:rPr>
          <w:rFonts w:ascii="Times New Roman" w:hAnsi="Times New Roman" w:cs="Times New Roman"/>
          <w:b/>
          <w:bCs/>
          <w:color w:val="auto"/>
          <w:sz w:val="23"/>
          <w:szCs w:val="23"/>
          <w:u w:val="single"/>
        </w:rPr>
        <w:t xml:space="preserve"> for density, height, and land use. Id. at (7)(d).</w:t>
      </w:r>
    </w:p>
    <w:p w14:paraId="500B4716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b. c. d. e. </w:t>
      </w:r>
    </w:p>
    <w:p w14:paraId="6C235151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BB2F553" w14:textId="2F10D2EE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In addition, the county/municipality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is required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to “consider” reduced parking for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developments meeting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the 40% Requirement if within ½ mile of a major transit stop (as that term may be defined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in the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local government regulations) that is accessible from the proposed development. Id. at (7)(e).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The provisions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of each subsection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7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automatically expire on October 1, 2033. Id at 7(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I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).</w:t>
      </w:r>
    </w:p>
    <w:p w14:paraId="7B7A654A" w14:textId="0F6580BB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>Amendments to Chapter 196 (Ad Valorem Taxes)</w:t>
      </w:r>
    </w:p>
    <w:p w14:paraId="0B8C3770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6470D758" w14:textId="77777777" w:rsidR="001209DF" w:rsidRPr="001209DF" w:rsidRDefault="001209DF">
      <w:pPr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br w:type="page"/>
      </w:r>
    </w:p>
    <w:p w14:paraId="56F25CD6" w14:textId="77777777" w:rsidR="001209DF" w:rsidRPr="001209DF" w:rsidRDefault="001209DF" w:rsidP="001209D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TAX ABATEMENT:</w:t>
      </w:r>
    </w:p>
    <w:p w14:paraId="7B64829C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ACBF684" w14:textId="2AE05689" w:rsid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A new ad valorem tax exemption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is created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by Section 196.1978(2)(b), Florida Statutes for the 2024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tax year through the 2059 tax year. This provision provides that any land owned entirely by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a charitable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entity qualified pursuant to 501(c)(3) of the Internal Revenue Code and in compliance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with applicable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IRS regulations and which is leased for at least 99 years for the purpose of – and is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predominantly used for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[6] – housing for extremely-low, very low-, low-, or moderate-income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purposes as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set forth in Section 420.0004, Florida Statutes is entirely exempt from ad valorem taxes. We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note that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the use of “or” indicates that not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all of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the applicable ranges are required to be met.</w:t>
      </w:r>
    </w:p>
    <w:p w14:paraId="211296D9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DBD08A2" w14:textId="18C51961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</w:pPr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A new provision, 196.1978(3) </w:t>
      </w:r>
      <w:proofErr w:type="gramStart"/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is also created</w:t>
      </w:r>
      <w:proofErr w:type="gramEnd"/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, also for the 2024 through 2059 tax years. This </w:t>
      </w:r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provision provides</w:t>
      </w:r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that portions of a multifamily project </w:t>
      </w:r>
      <w:proofErr w:type="gramStart"/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are considered</w:t>
      </w:r>
      <w:proofErr w:type="gramEnd"/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as a matter of law to be charitable, </w:t>
      </w:r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and therefore</w:t>
      </w:r>
      <w:r w:rsidRPr="001209DF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eligible for an ad valorem tax exemption as follows: </w:t>
      </w:r>
    </w:p>
    <w:p w14:paraId="4F16F93C" w14:textId="77777777" w:rsidR="001209DF" w:rsidRDefault="001209DF" w:rsidP="001209DF">
      <w:pPr>
        <w:pStyle w:val="Default"/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</w:rPr>
      </w:pPr>
    </w:p>
    <w:p w14:paraId="18011129" w14:textId="6131D075" w:rsidR="001209DF" w:rsidRPr="00816375" w:rsidRDefault="001209DF" w:rsidP="001209DF">
      <w:pPr>
        <w:pStyle w:val="Default"/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</w:pP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Where providing affordable housing to person or family between 80 and 120% of AMI within 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the metropolitan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statistical area or, if not within such an area, the county, the portion providing 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that housing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is eligible for a 75% ad valorem tax </w:t>
      </w:r>
      <w:proofErr w:type="gramStart"/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exemption;</w:t>
      </w:r>
      <w:proofErr w:type="gramEnd"/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Id. at (d)(1) </w:t>
      </w:r>
    </w:p>
    <w:p w14:paraId="1032CA7F" w14:textId="1DDE9ED6" w:rsidR="001209DF" w:rsidRPr="00816375" w:rsidRDefault="001209DF" w:rsidP="001209DF">
      <w:pPr>
        <w:pStyle w:val="Default"/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</w:pP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Where providing affordable housing to a person or family up to 80% of AMI within 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the metropolitan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statistical area or, if not within such an area, the county, the portion providing 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that housing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is entirely exempt from ad valorem </w:t>
      </w:r>
      <w:proofErr w:type="gramStart"/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taxes;</w:t>
      </w:r>
      <w:proofErr w:type="gramEnd"/>
    </w:p>
    <w:p w14:paraId="52E993C7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</w:rPr>
      </w:pPr>
    </w:p>
    <w:p w14:paraId="078F1620" w14:textId="087F9D25" w:rsidR="001209DF" w:rsidRPr="00816375" w:rsidRDefault="001209DF" w:rsidP="001209DF">
      <w:pPr>
        <w:pStyle w:val="Default"/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</w:pP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This eligibility applies to multi-family units that are within a newly constructed project containing 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more than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70 units dedicated to people within the noted categories and are rented for the lesser of (1) 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an amount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that does not exceed that posted by the Florida Housing Finance Corporation or (2) 90% 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>of the</w:t>
      </w:r>
      <w:r w:rsidRPr="00816375"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  <w:u w:val="single"/>
        </w:rPr>
        <w:t xml:space="preserve"> fair market rent as determined by a rental study meeting the requirements in subsection196.1978(3)(m). Idi at (b)2 and 3.</w:t>
      </w:r>
    </w:p>
    <w:p w14:paraId="228F8C14" w14:textId="77777777" w:rsid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17506EA4" w14:textId="59ED4C9D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Notwithstanding the forgoing, any unit that is subject to an agreement with the Florida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Housing Finance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Corporation pursuant to Chapter 420, Florida statues that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is recorded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in the public records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of the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county in which the property is located is not eligible for the exemption. </w:t>
      </w:r>
      <w:r>
        <w:rPr>
          <w:rFonts w:ascii="Times New Roman" w:hAnsi="Times New Roman" w:cs="Times New Roman"/>
          <w:color w:val="auto"/>
          <w:sz w:val="23"/>
          <w:szCs w:val="23"/>
        </w:rPr>
        <w:t>(Editor’s Note” DOUBLE CHECK ON THIS!!!! IT MAY HAVE CHANGED IN THE VERY FINAL REVISION, IN THE DARK OF NIGHT).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Similarly,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any property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receiving an exemption pursuant to Section 196.1979 is not eligible. Id. at (l)</w:t>
      </w:r>
    </w:p>
    <w:p w14:paraId="09366346" w14:textId="77777777" w:rsid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03B15915" w14:textId="65D721BE" w:rsid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As with other exemptions available, the property owner must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submit an application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on a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prescribed form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no later than March 1 of the applicable tax year, along with a certification notice from the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Florida Housing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Finance Corporation. Id. at (e). The statute identifies the requirements to obtain the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required certification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. Id. at (f).</w:t>
      </w:r>
    </w:p>
    <w:p w14:paraId="5FA45CF1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A9096E6" w14:textId="77777777" w:rsidR="00816375" w:rsidRDefault="0081637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14:paraId="24F54058" w14:textId="29BE09F4" w:rsidR="00816375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A new section 196.1979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is also created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that allows for a county or municipality to except portions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of property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providing affordable housing meeting certain requirements from ad valorem taxes. Id. at </w:t>
      </w:r>
    </w:p>
    <w:p w14:paraId="226242EE" w14:textId="77777777" w:rsidR="00816375" w:rsidRDefault="00816375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45B32364" w14:textId="6FB2332D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(1)(a). These requirements are: </w:t>
      </w:r>
    </w:p>
    <w:p w14:paraId="046185FA" w14:textId="0027DB1E" w:rsidR="001209DF" w:rsidRPr="001209DF" w:rsidRDefault="001209DF" w:rsidP="0081637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Housing for a person or family with an annual income up to 30% or between 30% and 60% AMIin a metropolitan statistical area – or if not in a metropolitan statistical area, within the county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in which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the person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resides;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C5D88B6" w14:textId="2E35E49C" w:rsidR="001209DF" w:rsidRPr="001209DF" w:rsidRDefault="001209DF" w:rsidP="0081637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Is within a multifamily development of at least 50 residential units, of which at least 20%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are within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affordable ranges noted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above;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1B526D22" w14:textId="3D7846B4" w:rsidR="001209DF" w:rsidRPr="001209DF" w:rsidRDefault="001209DF" w:rsidP="0081637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Rent no more than specified in most recent programs income and rent limit chart from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the Multifamily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Tax Subsidy Projects Income Limits from HUD, or 90% of fair market rent by a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study meeting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the requirements of subsection 4 of the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statute;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443181F9" w14:textId="77777777" w:rsidR="001209DF" w:rsidRPr="001209DF" w:rsidRDefault="001209DF" w:rsidP="0081637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No outstanding code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violations;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3202E51" w14:textId="7EE10109" w:rsidR="001209DF" w:rsidRPr="001209DF" w:rsidRDefault="001209DF" w:rsidP="00816375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>No unpaid fines or charges related to code violations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49DA7E1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16"/>
          <w:szCs w:val="16"/>
        </w:rPr>
      </w:pPr>
    </w:p>
    <w:p w14:paraId="4F3E1D08" w14:textId="67BAA88C" w:rsid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If these elements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are met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, where fewer than 100% of the units are affordable, the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advisory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exemption can be up to 75%. If 100% of the units are affordable, the ad valorem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exemption can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be up to 75%. Id. at (1)(b).</w:t>
      </w:r>
    </w:p>
    <w:p w14:paraId="6C897775" w14:textId="77777777" w:rsidR="00816375" w:rsidRPr="001209DF" w:rsidRDefault="00816375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0B459978" w14:textId="3AD68AD1" w:rsidR="001209DF" w:rsidRPr="001209DF" w:rsidRDefault="001209DF">
      <w:pPr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br w:type="page"/>
      </w:r>
    </w:p>
    <w:p w14:paraId="7B31AB68" w14:textId="2A44D813" w:rsidR="001209DF" w:rsidRPr="001209DF" w:rsidRDefault="001209DF" w:rsidP="001209D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TAX CREDITS:</w:t>
      </w:r>
    </w:p>
    <w:p w14:paraId="6E4A7E27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1CECA1E3" w14:textId="081D3550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>Amendments to Chapter 212, Chapter 220, and Chapter 624 (Tax Credits)</w:t>
      </w:r>
    </w:p>
    <w:p w14:paraId="3D0B3D1C" w14:textId="3B22730F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A new subsection (v) is added to Section 212.08(5) related to sales taxes for building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materials[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7]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used in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construction of affordable housing units within the extremely low-, very low- or low-income limits </w:t>
      </w:r>
      <w:proofErr w:type="spellStart"/>
      <w:r w:rsidRPr="001209DF">
        <w:rPr>
          <w:rFonts w:ascii="Times New Roman" w:hAnsi="Times New Roman" w:cs="Times New Roman"/>
          <w:color w:val="auto"/>
          <w:sz w:val="23"/>
          <w:szCs w:val="23"/>
        </w:rPr>
        <w:t>asset</w:t>
      </w:r>
      <w:proofErr w:type="spell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forth in 420.0004. Section 212.08(v)(1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)a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, Florida Statutes. Building materials used in a unit within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a newly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constructed affordable housing development are exempt from sales tax, by way of a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refund provided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by the department of revenue after completion upon application of the owner at the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time the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unit is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substantially completed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. Id. at 212.08(v)(2).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In the event that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the building materials are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paid for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out of funds from a community development block grant, State Housing Initiatives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Partnership Program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, or similar grant, the refund belongs to the government. Id. at (v)(3). The refund may only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be had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once per unit and must be between $500 and $5000 or 97.5% of sales or sue tax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paid, whichever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is less.</w:t>
      </w:r>
    </w:p>
    <w:p w14:paraId="24249A51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3342520" w14:textId="70B8BE3C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A new Section 220.1878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is added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for credits related to contributions to the Live Local Program that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is created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by Section 420.50872. For any tax year from or after January 1, 2023, 100% of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eligible contributions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to the Live Local Program may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be credited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against any taxes due under chapter 220,</w:t>
      </w:r>
      <w:r w:rsidR="00816375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Florida Statutes. Section 220.1878(1), Florida Statutes.</w:t>
      </w:r>
    </w:p>
    <w:p w14:paraId="72EBCF1C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08BCB291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br w:type="page"/>
      </w:r>
    </w:p>
    <w:p w14:paraId="4A1B2497" w14:textId="7D99B623" w:rsidR="001209DF" w:rsidRPr="001209DF" w:rsidRDefault="001209DF" w:rsidP="001209DF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FHFC</w:t>
      </w: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30EF2A9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281212E" w14:textId="37C6DCBC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>Amendments to Chapter 420 (Florida Housing Finance Corporation)</w:t>
      </w:r>
    </w:p>
    <w:p w14:paraId="1EE2B290" w14:textId="7F78EA40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Section 420.0003 is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substantially rewritten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and restated. The intent is to have state and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local governments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work in partnership with communities and private sector on financial and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regulatory commitments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(at a minimum) to meet the policies identified. Id. at (1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).This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includes that state and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local governments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are required to provide incentives to encourage the private sector to be the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primary delivery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vehicle for the development of affordable housing. Id. at (2)(a)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1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481C7F94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FF432B8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br w:type="page"/>
      </w:r>
    </w:p>
    <w:p w14:paraId="564AAA17" w14:textId="1CD90C7A" w:rsidR="001209DF" w:rsidRPr="001209DF" w:rsidRDefault="001209DF" w:rsidP="001209DF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EXPEDITED PERMITTING AND DEVELOPMENT ORDERS</w:t>
      </w:r>
      <w:r w:rsidRPr="001209DF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7EC33A8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79E8F169" w14:textId="0A0A4C44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>Amendment to Section 553.792 (expedited building permitting and development orders)</w:t>
      </w:r>
    </w:p>
    <w:p w14:paraId="788244B3" w14:textId="2A51BDA4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Section 553.792(1)(a)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is amended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only to provide that the local governments are required to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maintain on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their websites the policy and procedures for expedited building permitting and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development orders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. This will be helpful for a developer looking for any expedited permitting within a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local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jurisdiction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74A7370D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63EF468F" w14:textId="6D72BC3B" w:rsidR="001209DF" w:rsidRPr="001209DF" w:rsidRDefault="001209DF">
      <w:pPr>
        <w:rPr>
          <w:rFonts w:ascii="Times New Roman" w:hAnsi="Times New Roman" w:cs="Times New Roman"/>
          <w:sz w:val="23"/>
          <w:szCs w:val="23"/>
        </w:rPr>
      </w:pPr>
      <w:r w:rsidRPr="001209DF">
        <w:rPr>
          <w:rFonts w:ascii="Times New Roman" w:hAnsi="Times New Roman" w:cs="Times New Roman"/>
          <w:sz w:val="23"/>
          <w:szCs w:val="23"/>
        </w:rPr>
        <w:br w:type="page"/>
      </w:r>
    </w:p>
    <w:p w14:paraId="65AC0CEE" w14:textId="03314585" w:rsidR="001209DF" w:rsidRPr="001209DF" w:rsidRDefault="001209DF" w:rsidP="001209D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209D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FOOTNOTES:</w:t>
      </w:r>
    </w:p>
    <w:p w14:paraId="2BD6788D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65A3137A" w14:textId="7B0E74E4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[1] Section 420.0004, Florida Statutes defines “affordable” as monthly rent or mortgage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not exceeding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30% of the median adjusted gross annual income for a household in one of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four categories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, extremely low,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very low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>, low, and moderate. These are each discussed above.</w:t>
      </w:r>
    </w:p>
    <w:p w14:paraId="39810517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C2F0F87" w14:textId="11A8CB5A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16"/>
          <w:szCs w:val="16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[2] This is the State Apartment Incentive Loan Program to provide first, second, or other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subordinate mortgages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that provide housing that meets the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very-low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>-income categor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y.</w:t>
      </w:r>
    </w:p>
    <w:p w14:paraId="4A421872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16"/>
          <w:szCs w:val="16"/>
        </w:rPr>
      </w:pPr>
    </w:p>
    <w:p w14:paraId="74778A46" w14:textId="64B0A3CE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[3] “Residential purposes” is undefined. However, it is reasonable to conclude that this would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not apply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only to the specific units, which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are already noted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at 40%, but could also include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related elements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such as hallways, stairways, and amenities that are part of the residential square footage.</w:t>
      </w:r>
    </w:p>
    <w:p w14:paraId="1F27DE8B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90096CB" w14:textId="0DDAD4F1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[4] This does not apply to property zoned industrial that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is defined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as recreational or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commercial working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waterfront in Section 342.201(2)(b), Florida Statutes. Section 125.01055(7)(h) and 166.04151(7)(h).</w:t>
      </w:r>
    </w:p>
    <w:p w14:paraId="284D4406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16A5AADD" w14:textId="57914ECA" w:rsidR="001209DF" w:rsidRPr="001209DF" w:rsidRDefault="001209DF" w:rsidP="001209DF">
      <w:pPr>
        <w:pStyle w:val="Default"/>
        <w:rPr>
          <w:rFonts w:ascii="Times New Roman" w:hAnsi="Times New Roman" w:cs="Times New Roman"/>
          <w:b/>
          <w:bCs/>
        </w:rPr>
      </w:pPr>
      <w:r w:rsidRPr="001209DF">
        <w:rPr>
          <w:rFonts w:ascii="Times New Roman" w:hAnsi="Times New Roman" w:cs="Times New Roman"/>
          <w:b/>
          <w:bCs/>
        </w:rPr>
        <w:t xml:space="preserve">[5] Notably, this does not refer to zoning, but where the identified uses </w:t>
      </w:r>
      <w:proofErr w:type="gramStart"/>
      <w:r w:rsidRPr="001209DF">
        <w:rPr>
          <w:rFonts w:ascii="Times New Roman" w:hAnsi="Times New Roman" w:cs="Times New Roman"/>
          <w:b/>
          <w:bCs/>
        </w:rPr>
        <w:t>are allowed</w:t>
      </w:r>
      <w:proofErr w:type="gramEnd"/>
      <w:r w:rsidRPr="001209DF">
        <w:rPr>
          <w:rFonts w:ascii="Times New Roman" w:hAnsi="Times New Roman" w:cs="Times New Roman"/>
          <w:b/>
          <w:bCs/>
        </w:rPr>
        <w:t xml:space="preserve"> regardless of </w:t>
      </w:r>
      <w:r w:rsidRPr="001209DF">
        <w:rPr>
          <w:rFonts w:ascii="Times New Roman" w:hAnsi="Times New Roman" w:cs="Times New Roman"/>
          <w:b/>
          <w:bCs/>
        </w:rPr>
        <w:t>the terminology</w:t>
      </w:r>
      <w:r w:rsidRPr="001209DF">
        <w:rPr>
          <w:rFonts w:ascii="Times New Roman" w:hAnsi="Times New Roman" w:cs="Times New Roman"/>
          <w:b/>
          <w:bCs/>
        </w:rPr>
        <w:t xml:space="preserve"> of the zoning category.</w:t>
      </w:r>
    </w:p>
    <w:p w14:paraId="2CB9E25A" w14:textId="77777777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6C988DD7" w14:textId="4BFC2D02" w:rsidR="001209DF" w:rsidRPr="001209DF" w:rsidRDefault="001209DF" w:rsidP="001209D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[6] The land is </w:t>
      </w:r>
      <w:proofErr w:type="gramStart"/>
      <w:r w:rsidRPr="001209DF">
        <w:rPr>
          <w:rFonts w:ascii="Times New Roman" w:hAnsi="Times New Roman" w:cs="Times New Roman"/>
          <w:color w:val="auto"/>
          <w:sz w:val="23"/>
          <w:szCs w:val="23"/>
        </w:rPr>
        <w:t>predominantly used</w:t>
      </w:r>
      <w:proofErr w:type="gramEnd"/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for the purposes if more than 50% of all of the square footage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on the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 xml:space="preserve"> land is used for the applicable housing. </w:t>
      </w:r>
      <w:r w:rsidRPr="001209DF">
        <w:rPr>
          <w:rFonts w:ascii="Times New Roman" w:hAnsi="Times New Roman" w:cs="Times New Roman"/>
          <w:color w:val="auto"/>
          <w:sz w:val="23"/>
          <w:szCs w:val="23"/>
        </w:rPr>
        <w:t>Id.</w:t>
      </w:r>
    </w:p>
    <w:p w14:paraId="5201436F" w14:textId="77777777" w:rsidR="001209DF" w:rsidRPr="001209DF" w:rsidRDefault="001209DF" w:rsidP="001209DF">
      <w:pPr>
        <w:rPr>
          <w:rFonts w:ascii="Times New Roman" w:hAnsi="Times New Roman" w:cs="Times New Roman"/>
          <w:sz w:val="23"/>
          <w:szCs w:val="23"/>
        </w:rPr>
      </w:pPr>
    </w:p>
    <w:p w14:paraId="10D9E875" w14:textId="722D6179" w:rsidR="00A9204E" w:rsidRPr="001209DF" w:rsidRDefault="001209DF" w:rsidP="001209DF">
      <w:pPr>
        <w:rPr>
          <w:rFonts w:ascii="Times New Roman" w:hAnsi="Times New Roman" w:cs="Times New Roman"/>
        </w:rPr>
      </w:pPr>
      <w:r w:rsidRPr="001209DF">
        <w:rPr>
          <w:rFonts w:ascii="Times New Roman" w:hAnsi="Times New Roman" w:cs="Times New Roman"/>
          <w:sz w:val="23"/>
          <w:szCs w:val="23"/>
        </w:rPr>
        <w:t xml:space="preserve">[7] Building materials means tangible </w:t>
      </w:r>
      <w:proofErr w:type="gramStart"/>
      <w:r w:rsidRPr="001209DF">
        <w:rPr>
          <w:rFonts w:ascii="Times New Roman" w:hAnsi="Times New Roman" w:cs="Times New Roman"/>
          <w:sz w:val="23"/>
          <w:szCs w:val="23"/>
        </w:rPr>
        <w:t>personal property</w:t>
      </w:r>
      <w:proofErr w:type="gramEnd"/>
      <w:r w:rsidRPr="001209DF">
        <w:rPr>
          <w:rFonts w:ascii="Times New Roman" w:hAnsi="Times New Roman" w:cs="Times New Roman"/>
          <w:sz w:val="23"/>
          <w:szCs w:val="23"/>
        </w:rPr>
        <w:t xml:space="preserve"> that becomes part of an a newly </w:t>
      </w:r>
      <w:r w:rsidRPr="001209DF">
        <w:rPr>
          <w:rFonts w:ascii="Times New Roman" w:hAnsi="Times New Roman" w:cs="Times New Roman"/>
          <w:sz w:val="23"/>
          <w:szCs w:val="23"/>
        </w:rPr>
        <w:t>constructed unit</w:t>
      </w:r>
      <w:r w:rsidRPr="001209DF">
        <w:rPr>
          <w:rFonts w:ascii="Times New Roman" w:hAnsi="Times New Roman" w:cs="Times New Roman"/>
          <w:sz w:val="23"/>
          <w:szCs w:val="23"/>
        </w:rPr>
        <w:t xml:space="preserve"> in an affordable housing development, including appliances. Plants, fencing, landscape, </w:t>
      </w:r>
      <w:r w:rsidRPr="001209DF">
        <w:rPr>
          <w:rFonts w:ascii="Times New Roman" w:hAnsi="Times New Roman" w:cs="Times New Roman"/>
          <w:sz w:val="23"/>
          <w:szCs w:val="23"/>
        </w:rPr>
        <w:t>and hardscape</w:t>
      </w:r>
      <w:r w:rsidRPr="001209DF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1209DF">
        <w:rPr>
          <w:rFonts w:ascii="Times New Roman" w:hAnsi="Times New Roman" w:cs="Times New Roman"/>
          <w:sz w:val="23"/>
          <w:szCs w:val="23"/>
        </w:rPr>
        <w:t>are not included</w:t>
      </w:r>
      <w:proofErr w:type="gramEnd"/>
      <w:r w:rsidRPr="001209DF">
        <w:rPr>
          <w:rFonts w:ascii="Times New Roman" w:hAnsi="Times New Roman" w:cs="Times New Roman"/>
          <w:sz w:val="23"/>
          <w:szCs w:val="23"/>
        </w:rPr>
        <w:t>. Section 212.08(v)(1)b &amp; c, Florida Statutes.</w:t>
      </w:r>
    </w:p>
    <w:sectPr w:rsidR="00A9204E" w:rsidRPr="0012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E3E6231"/>
    <w:multiLevelType w:val="hybridMultilevel"/>
    <w:tmpl w:val="84A6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1510">
    <w:abstractNumId w:val="19"/>
  </w:num>
  <w:num w:numId="2" w16cid:durableId="132992356">
    <w:abstractNumId w:val="12"/>
  </w:num>
  <w:num w:numId="3" w16cid:durableId="132716477">
    <w:abstractNumId w:val="10"/>
  </w:num>
  <w:num w:numId="4" w16cid:durableId="1205752157">
    <w:abstractNumId w:val="21"/>
  </w:num>
  <w:num w:numId="5" w16cid:durableId="836532179">
    <w:abstractNumId w:val="13"/>
  </w:num>
  <w:num w:numId="6" w16cid:durableId="625283962">
    <w:abstractNumId w:val="16"/>
  </w:num>
  <w:num w:numId="7" w16cid:durableId="1924797147">
    <w:abstractNumId w:val="18"/>
  </w:num>
  <w:num w:numId="8" w16cid:durableId="1245990492">
    <w:abstractNumId w:val="9"/>
  </w:num>
  <w:num w:numId="9" w16cid:durableId="1030229793">
    <w:abstractNumId w:val="7"/>
  </w:num>
  <w:num w:numId="10" w16cid:durableId="298268899">
    <w:abstractNumId w:val="6"/>
  </w:num>
  <w:num w:numId="11" w16cid:durableId="158620294">
    <w:abstractNumId w:val="5"/>
  </w:num>
  <w:num w:numId="12" w16cid:durableId="2072385367">
    <w:abstractNumId w:val="4"/>
  </w:num>
  <w:num w:numId="13" w16cid:durableId="1291015248">
    <w:abstractNumId w:val="8"/>
  </w:num>
  <w:num w:numId="14" w16cid:durableId="1148472648">
    <w:abstractNumId w:val="3"/>
  </w:num>
  <w:num w:numId="15" w16cid:durableId="532352216">
    <w:abstractNumId w:val="2"/>
  </w:num>
  <w:num w:numId="16" w16cid:durableId="1267345342">
    <w:abstractNumId w:val="1"/>
  </w:num>
  <w:num w:numId="17" w16cid:durableId="1652059757">
    <w:abstractNumId w:val="0"/>
  </w:num>
  <w:num w:numId="18" w16cid:durableId="910820046">
    <w:abstractNumId w:val="14"/>
  </w:num>
  <w:num w:numId="19" w16cid:durableId="1930581769">
    <w:abstractNumId w:val="15"/>
  </w:num>
  <w:num w:numId="20" w16cid:durableId="1852991426">
    <w:abstractNumId w:val="20"/>
  </w:num>
  <w:num w:numId="21" w16cid:durableId="1852257411">
    <w:abstractNumId w:val="17"/>
  </w:num>
  <w:num w:numId="22" w16cid:durableId="1502699519">
    <w:abstractNumId w:val="11"/>
  </w:num>
  <w:num w:numId="23" w16cid:durableId="175537975">
    <w:abstractNumId w:val="22"/>
  </w:num>
  <w:num w:numId="24" w16cid:durableId="11137432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DF"/>
    <w:rsid w:val="001209DF"/>
    <w:rsid w:val="00645252"/>
    <w:rsid w:val="006D3D74"/>
    <w:rsid w:val="00816375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96A9"/>
  <w15:chartTrackingRefBased/>
  <w15:docId w15:val="{EA06EAC8-90FA-4265-9CBC-69D3547B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DF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1209DF"/>
    <w:pPr>
      <w:autoSpaceDE w:val="0"/>
      <w:autoSpaceDN w:val="0"/>
      <w:adjustRightInd w:val="0"/>
    </w:pPr>
    <w:rPr>
      <w:rFonts w:ascii="FontAwesome" w:hAnsi="FontAwesome" w:cs="FontAwesom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s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14</TotalTime>
  <Pages>10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Sander</dc:creator>
  <cp:keywords/>
  <dc:description/>
  <cp:lastModifiedBy>Nick Sander</cp:lastModifiedBy>
  <cp:revision>1</cp:revision>
  <cp:lastPrinted>2023-07-28T23:50:00Z</cp:lastPrinted>
  <dcterms:created xsi:type="dcterms:W3CDTF">2023-07-28T23:35:00Z</dcterms:created>
  <dcterms:modified xsi:type="dcterms:W3CDTF">2023-07-28T23:51:00Z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