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12" w:rsidRPr="00D34112" w:rsidRDefault="00D34112" w:rsidP="00D3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 w:rsidRPr="00D341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published in: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Lankinen, Å., Madjidian, J.A., Andersson, S. 2017. </w:t>
      </w:r>
      <w:r w:rsidRPr="00D34112">
        <w:rPr>
          <w:rFonts w:ascii="Times New Roman" w:hAnsi="Times New Roman" w:cs="Times New Roman"/>
          <w:sz w:val="24"/>
          <w:szCs w:val="24"/>
        </w:rPr>
        <w:t xml:space="preserve">Geographic variation in floral traits is associated with environmental and genetic differences among populations of the mixed mating species </w:t>
      </w:r>
      <w:r w:rsidRPr="00D34112">
        <w:rPr>
          <w:rFonts w:ascii="Times New Roman" w:hAnsi="Times New Roman" w:cs="Times New Roman"/>
          <w:i/>
          <w:sz w:val="24"/>
          <w:szCs w:val="24"/>
        </w:rPr>
        <w:t>Collinsia heterophylla</w:t>
      </w:r>
      <w:r w:rsidRPr="00D34112">
        <w:rPr>
          <w:rFonts w:ascii="Times New Roman" w:hAnsi="Times New Roman" w:cs="Times New Roman"/>
          <w:sz w:val="24"/>
          <w:szCs w:val="24"/>
        </w:rPr>
        <w:t xml:space="preserve"> (Plantaginaceae).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Botany 95: 121-138. doi: </w:t>
      </w:r>
      <w:r w:rsidRPr="00D34112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10.1139/cjb-2016-0014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4112" w:rsidRDefault="00D34112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B4408" w:rsidRDefault="003B4408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3373" w:rsidRPr="009E3373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337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 material and study populations</w:t>
      </w:r>
    </w:p>
    <w:p w:rsidR="009E3373" w:rsidRPr="009E3373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3373">
        <w:rPr>
          <w:rFonts w:ascii="Times New Roman" w:hAnsi="Times New Roman" w:cs="Times New Roman"/>
          <w:sz w:val="24"/>
          <w:szCs w:val="24"/>
          <w:lang w:val="en-US"/>
        </w:rPr>
        <w:t xml:space="preserve">In 2008, between 29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April and 14 May, we sampled 27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populations in California (Table A1),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22 populations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could be used for gat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hering floral trait data in the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field (marked F in Tabl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A1). Seeds for the greenhouse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study were obtained from 20 populations (marked G),</w:t>
      </w:r>
    </w:p>
    <w:p w:rsidR="009E3373" w:rsidRPr="009E3373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3373">
        <w:rPr>
          <w:rFonts w:ascii="Times New Roman" w:hAnsi="Times New Roman" w:cs="Times New Roman"/>
          <w:sz w:val="24"/>
          <w:szCs w:val="24"/>
          <w:lang w:val="en-US"/>
        </w:rPr>
        <w:t xml:space="preserve">including 15 of those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in the field investigation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(marked F, G). Our 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to sample populations that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covered the majority of the clim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atic and ecological variability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encountered by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species. The sample range of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our populations was 750 km and represents about 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thirds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of the north–south range of the species. Populations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 xml:space="preserve">can be found 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north and south of the sampling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area, i.e., our outermost pop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ulations are relatively distant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from the range limit. 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practical reasons we sampled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populations in four regions of the total study area, where region was defined acc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ording to our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sampling scheme. In th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 south, we sampled populations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both south of Los Ang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eles in the Santa Ana Mountains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(Riverside County, region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1) and north of Los Angeles in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the Transverse Ranges and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the Coast Ranges (Los Angeles,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Ventura, and Santa Barba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ra counties, region 2). Further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north, we sampled p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opulations in the Sierra Nevada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Mountains (Mariposa and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Madera counties, region 3) and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the Coast Ranges ar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ound the Bay area (Santa Clara,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Alameda, and Napa counties, r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egion 4). Region and population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represent geogra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phical effects varying at large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and small scale, respectivel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y. These large- and small-scale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effects may or may not r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epresent specific environmental </w:t>
      </w:r>
      <w:r w:rsidRPr="009E3373">
        <w:rPr>
          <w:rFonts w:ascii="Times New Roman" w:hAnsi="Times New Roman" w:cs="Times New Roman"/>
          <w:sz w:val="24"/>
          <w:szCs w:val="24"/>
          <w:lang w:val="en-US"/>
        </w:rPr>
        <w:t>variables such as climat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 and site characteristics (see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below).</w:t>
      </w:r>
    </w:p>
    <w:p w:rsidR="009E3373" w:rsidRPr="009E3373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 of field data</w:t>
      </w:r>
    </w:p>
    <w:p w:rsidR="006D1163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To quantify geographic variation of floral phenotype,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measured eight traits in the field. Two traits, corolla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colour and the presence/absence of dark pigment on the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upper lip, were scored in all 22 populations that were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flowering during our field work. To increase sample size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for these two traits, we also included data collected in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2003 (Å. Lankinen, unpublished data) from two early</w:t>
      </w:r>
      <w:r w:rsidR="006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flowering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populations (203 and 204</w:t>
      </w:r>
      <w:r w:rsidR="009E3373" w:rsidRPr="009E3373">
        <w:rPr>
          <w:rFonts w:cstheme="minorHAnsi"/>
          <w:sz w:val="24"/>
          <w:szCs w:val="24"/>
          <w:lang w:val="en-US"/>
        </w:rPr>
        <w:t>, Table A1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). Timing of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anther–stigma contact, timing of stigma receptivity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(time to first sign of receptivity, termed partial receptivity,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full receptivity, respectively), and flower size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(keel length, banner height, and corolla tube length)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were assessed in 13 populations (2–4 populations per region</w:t>
      </w:r>
      <w:r w:rsidR="009E33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3373" w:rsidRPr="009E3373">
        <w:rPr>
          <w:rFonts w:cstheme="minorHAnsi"/>
          <w:sz w:val="24"/>
          <w:szCs w:val="24"/>
          <w:lang w:val="en-US"/>
        </w:rPr>
        <w:t>Table A1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). Plants had reached an advanced stage at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 time of data collection (most plants had reached anthesis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some individuals had started to set seed). We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aimed to include as many populations as possible, which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limited the number of measurements made within populations.</w:t>
      </w:r>
    </w:p>
    <w:p w:rsidR="00D34112" w:rsidRPr="00D34112" w:rsidRDefault="00D34112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Measurements of floral traits</w:t>
      </w: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We assessed timing of anther–stigma contact by recording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at which floral developmental stage the anthers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stigma first came into physical contact. Floral stages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were defined as 0–4, reflecting the number of dehisced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anthers (following Armbruster et al. 2002). 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r w:rsid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method for estimating s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tage of anther-stigma contact in </w:t>
      </w:r>
      <w:r w:rsidR="006836C5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excel fil</w:t>
      </w:r>
      <w:r w:rsidR="008B249F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se</w:t>
      </w:r>
      <w:r w:rsidR="006836C5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="008B249F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details for greenhouse estimates below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examined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10 flowers per floral developmental stage (i.e., a total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50), each from a different individual, haphazardly chosen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from the population, and determined whether anthers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did or did not contact the stigma. When 10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 a particular stage had been found, we disregarded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 that stage. We used logistic regression (Statistica 7.1,</w:t>
      </w:r>
    </w:p>
    <w:p w:rsidR="006E636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lastRenderedPageBreak/>
        <w:t>2005) to estimate the stage at which 50% of all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had their anthers in direct contact with the stigma (see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Armbruster et al. 2002). This measure, denoted “stage of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anther–stigma contact” together with the corresponding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logistic regression coefficient, quantifies when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 the population reached anther–stigma contact relative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flower opening.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362" w:rsidRDefault="006E6362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To estimate stages of stigma receptivity we assessed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stigmatic peroxidase activity at stage 0–4 by placing intact,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pollen-free stigmas (checked by visual inspection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under a magnifying glass) on a microscopic slide in a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drop of 3% hydrogen peroxide and covering with a cover</w:t>
      </w:r>
    </w:p>
    <w:p w:rsidR="006E636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slip (Kearns and Inouye 1993). Vigorous bubbling on the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stigmatic surface within a few minutes has been observed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indicate full stigma receptivity (Lankinen et al.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2007). 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B249F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r w:rsid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method for estimating s</w:t>
      </w:r>
      <w:r w:rsidR="008B249F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tage of </w:t>
      </w:r>
      <w:r w:rsid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stigma receptivity</w:t>
      </w:r>
      <w:r w:rsidR="008B249F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</w:t>
      </w:r>
      <w:r w:rsidR="008B249F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excel fil, see details for greenhouse estimates below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examined 10 flowers per developmental stage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(i.e.,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= 50), each from a separate individual, haphazardly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chosen and usually excluding those scored for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other traits. We determined (using logistic regression)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 stage when 50% of all flowers showed full receptivity,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denoted “stage of stigma receptivity,” and used the logistic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regression coefficient to estimate how quickly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 the population reached stigma receptivity. Because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some pollen donors can germinate on partly-receptive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stigmas (Lankinen and Kiboi 2007), causing negative effects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on maternal seed set in line with a sexual conflict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over timing of stigma receptivity (Madjidian et al. 2012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were also interested in whether populations differ in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how stigma receptivity progresses: rapid development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from unreceptive to fully receptive stigmas (i.e., a short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period of partial receptivity) could be beneficial if it prevents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early pollen germination. Thus, we determined the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stage when 50% of all flowers showed partial receptivity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(as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indicated by at least two small bubbles) and the corresponding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logistic regression coefficient. In addition we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used the difference between stage of full and partial receptivity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(from the logistic regression estimates) as a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measure of the rate with which flowers went from partial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full receptivity.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362" w:rsidRDefault="006E6362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D1163" w:rsidRPr="006E636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We assessed flower size by measuring keel length,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height of the upper lip (banner height), and corolla tube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length (for details, see figure 1 in Armbruster et al. 2002).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BE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1BEE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r w:rsidR="00F31BE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method for estimating </w:t>
      </w:r>
      <w:r w:rsidR="00F31BEE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keel length in excel file, see details for greenhouse estimates below</w:t>
      </w:r>
      <w:r w:rsidR="00F31B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All three measurements were conducted on 10 flowers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per population (all from different, haphazardly chosen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individuals, usually not including those scored for other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traits). Additionally, we determined corolla colour by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scoring the base colour of corollas as light purple (nearly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 xml:space="preserve">white), intermediate purple, or dark purple. </w:t>
      </w:r>
      <w:r w:rsidR="00F31BE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1BEE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r w:rsidR="00F31BE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method for estimating flower colour</w:t>
      </w:r>
      <w:r w:rsidR="00F31BEE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excel file, see details for greenhouse estimates below</w:t>
      </w:r>
      <w:r w:rsidR="00F31BE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E6362" w:rsidRPr="006E6362">
        <w:rPr>
          <w:rFonts w:cstheme="minorHAnsi"/>
          <w:sz w:val="24"/>
          <w:szCs w:val="24"/>
          <w:lang w:val="en-US"/>
        </w:rPr>
        <w:t>Even though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some continuous colour variation exists, our populations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were sufficiently uniform to fall into these three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categories. Populations 19, 181, and 182 had additional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yellowish markings (see Garber 1958) but were categorized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according to their base colour (light purple). In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populations polymorphic for presence/absence of pigment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on the upper lip, we estimated the proportion of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plants with and without pigment (referred to as the darkand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white-lipped morph, respectively) by assessing all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plants along one or a few transects laid out in each population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362" w:rsidRPr="006E6362">
        <w:rPr>
          <w:rFonts w:cstheme="minorHAnsi"/>
          <w:sz w:val="24"/>
          <w:szCs w:val="24"/>
          <w:lang w:val="en-US"/>
        </w:rPr>
        <w:t>(200–300 plants per population).</w:t>
      </w: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E6362" w:rsidRPr="006E6362" w:rsidRDefault="006E6362" w:rsidP="006E6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6E6362">
        <w:rPr>
          <w:rFonts w:cstheme="minorHAnsi"/>
          <w:b/>
          <w:bCs/>
          <w:sz w:val="24"/>
          <w:szCs w:val="24"/>
          <w:lang w:val="en-US"/>
        </w:rPr>
        <w:t>Selection of floral traits for further analysis</w:t>
      </w:r>
    </w:p>
    <w:p w:rsidR="006E6362" w:rsidRPr="006E6362" w:rsidRDefault="006E6362" w:rsidP="006E6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E6362">
        <w:rPr>
          <w:rFonts w:cstheme="minorHAnsi"/>
          <w:sz w:val="24"/>
          <w:szCs w:val="24"/>
          <w:lang w:val="en-US"/>
        </w:rPr>
        <w:t xml:space="preserve">To select the most </w:t>
      </w:r>
      <w:r>
        <w:rPr>
          <w:rFonts w:cstheme="minorHAnsi"/>
          <w:sz w:val="24"/>
          <w:szCs w:val="24"/>
          <w:lang w:val="en-US"/>
        </w:rPr>
        <w:t xml:space="preserve">informative and least redundant </w:t>
      </w:r>
      <w:r w:rsidRPr="006E6362">
        <w:rPr>
          <w:rFonts w:cstheme="minorHAnsi"/>
          <w:sz w:val="24"/>
          <w:szCs w:val="24"/>
          <w:lang w:val="en-US"/>
        </w:rPr>
        <w:t xml:space="preserve">traits for </w:t>
      </w:r>
      <w:r>
        <w:rPr>
          <w:rFonts w:cstheme="minorHAnsi"/>
          <w:sz w:val="24"/>
          <w:szCs w:val="24"/>
          <w:lang w:val="en-US"/>
        </w:rPr>
        <w:t xml:space="preserve">further analyses we performed a principal component </w:t>
      </w:r>
      <w:r w:rsidRPr="006E6362">
        <w:rPr>
          <w:rFonts w:cstheme="minorHAnsi"/>
          <w:sz w:val="24"/>
          <w:szCs w:val="24"/>
          <w:lang w:val="en-US"/>
        </w:rPr>
        <w:t>analysis (PCA) o</w:t>
      </w:r>
      <w:r>
        <w:rPr>
          <w:rFonts w:cstheme="minorHAnsi"/>
          <w:sz w:val="24"/>
          <w:szCs w:val="24"/>
          <w:lang w:val="en-US"/>
        </w:rPr>
        <w:t xml:space="preserve">n population-level estimates of </w:t>
      </w:r>
      <w:r w:rsidRPr="006E6362">
        <w:rPr>
          <w:rFonts w:cstheme="minorHAnsi"/>
          <w:sz w:val="24"/>
          <w:szCs w:val="24"/>
          <w:lang w:val="en-US"/>
        </w:rPr>
        <w:t>the 12 floral traits generated in th</w:t>
      </w:r>
      <w:r>
        <w:rPr>
          <w:rFonts w:cstheme="minorHAnsi"/>
          <w:sz w:val="24"/>
          <w:szCs w:val="24"/>
          <w:lang w:val="en-US"/>
        </w:rPr>
        <w:t xml:space="preserve">e field study (13 populations). </w:t>
      </w:r>
      <w:r w:rsidRPr="006E6362">
        <w:rPr>
          <w:rFonts w:cstheme="minorHAnsi"/>
          <w:sz w:val="24"/>
          <w:szCs w:val="24"/>
          <w:lang w:val="en-US"/>
        </w:rPr>
        <w:t>Based on the results of this analysis (Table A2),</w:t>
      </w:r>
    </w:p>
    <w:p w:rsidR="006E6362" w:rsidRPr="006E6362" w:rsidRDefault="006E6362" w:rsidP="006E6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E6362">
        <w:rPr>
          <w:rFonts w:cstheme="minorHAnsi"/>
          <w:sz w:val="24"/>
          <w:szCs w:val="24"/>
          <w:lang w:val="en-US"/>
        </w:rPr>
        <w:t xml:space="preserve">we selected stage of </w:t>
      </w:r>
      <w:r>
        <w:rPr>
          <w:rFonts w:cstheme="minorHAnsi"/>
          <w:sz w:val="24"/>
          <w:szCs w:val="24"/>
          <w:lang w:val="en-US"/>
        </w:rPr>
        <w:t xml:space="preserve">anther–stigma contact, stage of </w:t>
      </w:r>
      <w:r w:rsidRPr="006E6362">
        <w:rPr>
          <w:rFonts w:cstheme="minorHAnsi"/>
          <w:sz w:val="24"/>
          <w:szCs w:val="24"/>
          <w:lang w:val="en-US"/>
        </w:rPr>
        <w:t xml:space="preserve">stigma receptivity, keel </w:t>
      </w:r>
      <w:r>
        <w:rPr>
          <w:rFonts w:cstheme="minorHAnsi"/>
          <w:sz w:val="24"/>
          <w:szCs w:val="24"/>
          <w:lang w:val="en-US"/>
        </w:rPr>
        <w:t xml:space="preserve">length and the second principal </w:t>
      </w:r>
      <w:r w:rsidRPr="006E6362">
        <w:rPr>
          <w:rFonts w:cstheme="minorHAnsi"/>
          <w:sz w:val="24"/>
          <w:szCs w:val="24"/>
          <w:lang w:val="en-US"/>
        </w:rPr>
        <w:t xml:space="preserve">component (PC 2) in further </w:t>
      </w:r>
      <w:r>
        <w:rPr>
          <w:rFonts w:cstheme="minorHAnsi"/>
          <w:sz w:val="24"/>
          <w:szCs w:val="24"/>
          <w:lang w:val="en-US"/>
        </w:rPr>
        <w:t xml:space="preserve">analyses. To reduce the </w:t>
      </w:r>
      <w:r w:rsidRPr="006E6362">
        <w:rPr>
          <w:rFonts w:cstheme="minorHAnsi"/>
          <w:sz w:val="24"/>
          <w:szCs w:val="24"/>
          <w:lang w:val="en-US"/>
        </w:rPr>
        <w:t>number of dependent varia</w:t>
      </w:r>
      <w:r>
        <w:rPr>
          <w:rFonts w:cstheme="minorHAnsi"/>
          <w:sz w:val="24"/>
          <w:szCs w:val="24"/>
          <w:lang w:val="en-US"/>
        </w:rPr>
        <w:t xml:space="preserve">bles for the analyses of the 13 </w:t>
      </w:r>
      <w:r w:rsidRPr="006E6362">
        <w:rPr>
          <w:rFonts w:cstheme="minorHAnsi"/>
          <w:sz w:val="24"/>
          <w:szCs w:val="24"/>
          <w:lang w:val="en-US"/>
        </w:rPr>
        <w:t>populations, PC 2 was used as</w:t>
      </w:r>
      <w:r>
        <w:rPr>
          <w:rFonts w:cstheme="minorHAnsi"/>
          <w:sz w:val="24"/>
          <w:szCs w:val="24"/>
          <w:lang w:val="en-US"/>
        </w:rPr>
        <w:t xml:space="preserve"> a proxy for the two </w:t>
      </w:r>
      <w:r>
        <w:rPr>
          <w:rFonts w:cstheme="minorHAnsi"/>
          <w:sz w:val="24"/>
          <w:szCs w:val="24"/>
          <w:lang w:val="en-US"/>
        </w:rPr>
        <w:lastRenderedPageBreak/>
        <w:t xml:space="preserve">positively </w:t>
      </w:r>
      <w:r w:rsidRPr="006E6362">
        <w:rPr>
          <w:rFonts w:cstheme="minorHAnsi"/>
          <w:sz w:val="24"/>
          <w:szCs w:val="24"/>
          <w:lang w:val="en-US"/>
        </w:rPr>
        <w:t xml:space="preserve">correlated traits </w:t>
      </w:r>
      <w:r>
        <w:rPr>
          <w:rFonts w:cstheme="minorHAnsi"/>
          <w:sz w:val="24"/>
          <w:szCs w:val="24"/>
          <w:lang w:val="en-US"/>
        </w:rPr>
        <w:t xml:space="preserve">corolla colour and colour morph </w:t>
      </w:r>
      <w:r w:rsidRPr="006E6362">
        <w:rPr>
          <w:rFonts w:cstheme="minorHAnsi"/>
          <w:sz w:val="24"/>
          <w:szCs w:val="24"/>
          <w:lang w:val="en-US"/>
        </w:rPr>
        <w:t xml:space="preserve">ratio (Spearman </w:t>
      </w:r>
      <w:r w:rsidRPr="006E6362">
        <w:rPr>
          <w:rFonts w:cstheme="minorHAnsi"/>
          <w:i/>
          <w:iCs/>
          <w:sz w:val="24"/>
          <w:szCs w:val="24"/>
          <w:lang w:val="en-US"/>
        </w:rPr>
        <w:t xml:space="preserve">r </w:t>
      </w:r>
      <w:r w:rsidRPr="006E6362">
        <w:rPr>
          <w:rFonts w:cstheme="minorHAnsi"/>
          <w:sz w:val="24"/>
          <w:szCs w:val="24"/>
          <w:lang w:val="en-US"/>
        </w:rPr>
        <w:t xml:space="preserve">= 0.770, </w:t>
      </w:r>
      <w:r w:rsidRPr="006E6362">
        <w:rPr>
          <w:rFonts w:cstheme="minorHAnsi"/>
          <w:i/>
          <w:iCs/>
          <w:sz w:val="24"/>
          <w:szCs w:val="24"/>
          <w:lang w:val="en-US"/>
        </w:rPr>
        <w:t xml:space="preserve">N </w:t>
      </w:r>
      <w:r w:rsidRPr="006E6362">
        <w:rPr>
          <w:rFonts w:cstheme="minorHAnsi"/>
          <w:sz w:val="24"/>
          <w:szCs w:val="24"/>
          <w:lang w:val="en-US"/>
        </w:rPr>
        <w:t xml:space="preserve">= 22, </w:t>
      </w:r>
      <w:r w:rsidRPr="006E6362">
        <w:rPr>
          <w:rFonts w:cstheme="minorHAnsi"/>
          <w:i/>
          <w:iCs/>
          <w:sz w:val="24"/>
          <w:szCs w:val="24"/>
          <w:lang w:val="en-US"/>
        </w:rPr>
        <w:t xml:space="preserve">P </w:t>
      </w:r>
      <w:r>
        <w:rPr>
          <w:rFonts w:cstheme="minorHAnsi"/>
          <w:sz w:val="24"/>
          <w:szCs w:val="24"/>
          <w:lang w:val="en-US"/>
        </w:rPr>
        <w:t xml:space="preserve">&lt; 0.0001), hereinafter </w:t>
      </w:r>
      <w:r w:rsidRPr="006E6362">
        <w:rPr>
          <w:rFonts w:cstheme="minorHAnsi"/>
          <w:sz w:val="24"/>
          <w:szCs w:val="24"/>
          <w:lang w:val="en-US"/>
        </w:rPr>
        <w:t>referred to “combined flower colour.” Corolla colour and</w:t>
      </w:r>
    </w:p>
    <w:p w:rsidR="006E6362" w:rsidRPr="006E6362" w:rsidRDefault="006E6362" w:rsidP="006E6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E6362">
        <w:rPr>
          <w:rFonts w:cstheme="minorHAnsi"/>
          <w:sz w:val="24"/>
          <w:szCs w:val="24"/>
          <w:lang w:val="en-US"/>
        </w:rPr>
        <w:t>colour morph ratio of al</w:t>
      </w:r>
      <w:r>
        <w:rPr>
          <w:rFonts w:cstheme="minorHAnsi"/>
          <w:sz w:val="24"/>
          <w:szCs w:val="24"/>
          <w:lang w:val="en-US"/>
        </w:rPr>
        <w:t xml:space="preserve">l 24 populations were also used </w:t>
      </w:r>
      <w:r w:rsidRPr="006E6362">
        <w:rPr>
          <w:rFonts w:cstheme="minorHAnsi"/>
          <w:sz w:val="24"/>
          <w:szCs w:val="24"/>
          <w:lang w:val="en-US"/>
        </w:rPr>
        <w:t>in complementary separate</w:t>
      </w:r>
      <w:r>
        <w:rPr>
          <w:rFonts w:cstheme="minorHAnsi"/>
          <w:sz w:val="24"/>
          <w:szCs w:val="24"/>
          <w:lang w:val="en-US"/>
        </w:rPr>
        <w:t xml:space="preserve"> analyses</w:t>
      </w:r>
      <w:r w:rsidRPr="006E6362">
        <w:rPr>
          <w:rFonts w:cstheme="minorHAnsi"/>
          <w:sz w:val="24"/>
          <w:szCs w:val="24"/>
          <w:lang w:val="en-US"/>
        </w:rPr>
        <w:t>.</w:t>
      </w:r>
    </w:p>
    <w:p w:rsidR="003B4408" w:rsidRDefault="003B4408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B4408" w:rsidRDefault="003B4408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D1163" w:rsidRPr="00D3411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 of greenhouse data</w:t>
      </w:r>
    </w:p>
    <w:p w:rsidR="006E6362" w:rsidRDefault="006D1163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In spring 2011, we performed a large cultivation experiment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determine genetically based variation within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between populations</w:t>
      </w:r>
      <w:r w:rsidR="009E3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373">
        <w:rPr>
          <w:rFonts w:cstheme="minorHAnsi"/>
          <w:sz w:val="24"/>
          <w:szCs w:val="24"/>
          <w:lang w:val="en-US"/>
        </w:rPr>
        <w:t>(</w:t>
      </w:r>
      <w:r w:rsidR="009E3373" w:rsidRPr="009E3373">
        <w:rPr>
          <w:rFonts w:cstheme="minorHAnsi"/>
          <w:sz w:val="24"/>
          <w:szCs w:val="24"/>
          <w:lang w:val="en-US"/>
        </w:rPr>
        <w:t>Table A1</w:t>
      </w:r>
      <w:r w:rsidR="009E3373">
        <w:rPr>
          <w:rFonts w:cstheme="minorHAnsi"/>
          <w:sz w:val="24"/>
          <w:szCs w:val="24"/>
          <w:lang w:val="en-US"/>
        </w:rPr>
        <w:t>)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. Plants from the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field-collected seeds (collected per maternal family) were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grown in pots with standard potting soil (565 cm3), placed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 random positions across eight adjacent benches in a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semi-automated, pollinator-free greenhouse at the Dept.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 Biology, Lund University (Sweden). We used artificial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light (14 h) to complement natural daylight in early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spring, and an automated shade cloth system to prevent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direct sunlight from reaching the plants. Greenhouse</w:t>
      </w:r>
      <w:r w:rsidR="00155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temperature varied between 20 and 30 °C, depending on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outside weather condition. We watered plants as soon as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 soil started to dry out to avoid any water stress. A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total of 20 populations were used in the greenhouse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study, including the five early-flowering populations not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scored for floral traits in the field study (Table A1). To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increase sample size in our field-greenhouse comparison,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compared greenhouse data from population 142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with field data collected from a closely adjacent population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(pop. 14, Table A1). We assume that because of their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close proximity (&lt;1 km) and overlapping flowering time,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these populations have the potential to exchange genes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share similar selection pressures. On average, each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population was represented by 13.8 ± 5.6 (SD) maternal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families (range = 5–27 families), with 1–5 offspring per</w:t>
      </w:r>
      <w:r w:rsidR="006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family and a total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 987.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362" w:rsidRDefault="006E6362" w:rsidP="006D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4D7A" w:rsidRDefault="006D1163" w:rsidP="006D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Floral traits measured in the greenhouse were the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same as in the field except that we also scored the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greenhouse-grown plants for floral phenology (time to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first flower from date </w:t>
      </w:r>
      <w:r w:rsidR="00F31BEE">
        <w:rPr>
          <w:rFonts w:ascii="Times New Roman" w:hAnsi="Times New Roman" w:cs="Times New Roman"/>
          <w:sz w:val="24"/>
          <w:szCs w:val="24"/>
          <w:lang w:val="en-US"/>
        </w:rPr>
        <w:t>first individual of all populations started flowering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 = 20, see Table A1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 of flowering start in excel file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Corolla colour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B249F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flower colour in excel file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 and presence/absence of dark pigment on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the upper lip 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b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 on upper lip in excel file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were assessed on each greenhouse-grown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plant (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 = 17). Estimates of stage of anther–stigma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contact 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tage of anther-stigma contact in excel file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and stigma receptivity 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tage of stigma receptivity in excel file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were based on data from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two replicate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flowers per developmental stage (1–4), i.e.,</w:t>
      </w:r>
      <w:r w:rsidR="006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 total of 8 flowers per plant. To prevent self-pollination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test for stigmatic receptivity we emasculated newly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opened flowers (i.e., at stage 0 = day 0) and used days 1–4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as a proxy for stage (Lankinen et al. 2007). For stage of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anther–stigma contact and keel length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k</w:t>
      </w:r>
      <w:r w:rsidR="006836C5" w:rsidRPr="006836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eel length in excel file</w:t>
      </w:r>
      <w:r w:rsidR="006836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, we obtained data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from 1–2 plants per maternal family for on average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13.2 families per population (range = 5–15 families/population,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 = 13, see Table A1). For stage of stigma receptivity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obtained data from one plant per maternal</w:t>
      </w:r>
      <w:r w:rsidR="006E6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family for on average 9.6 families per population</w:t>
      </w:r>
      <w:r w:rsidR="006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(range = 5–10 families/population, </w:t>
      </w:r>
      <w:r w:rsidRPr="00D3411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 = 12).</w:t>
      </w:r>
    </w:p>
    <w:p w:rsidR="008B249F" w:rsidRDefault="008B249F" w:rsidP="006D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249F" w:rsidRDefault="008B249F" w:rsidP="006D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 addition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the excel file</w:t>
      </w:r>
      <w:r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family means and population means of traits are given.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69E5" w:rsidRDefault="006D69E5" w:rsidP="006D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4408" w:rsidRPr="00D34112" w:rsidRDefault="003B4408" w:rsidP="003B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B4408">
        <w:rPr>
          <w:rFonts w:ascii="Times New Roman" w:hAnsi="Times New Roman" w:cs="Times New Roman"/>
          <w:sz w:val="24"/>
          <w:szCs w:val="24"/>
          <w:lang w:val="en-US"/>
        </w:rPr>
        <w:t>Armbruster, W.S., Mulder, C.P.H., Baldwin, B.G., Kal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isz, S.,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Wessa, B., and Nute, H. 200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Comparative analysis of late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floral development and mating-syste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evolution in tribe Collinsiae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(Scrophulariaceae S. L.). Am. J. Bot. </w:t>
      </w:r>
      <w:r w:rsidRPr="003B4408">
        <w:rPr>
          <w:rFonts w:ascii="Times New Roman" w:hAnsi="Times New Roman" w:cs="Times New Roman"/>
          <w:b/>
          <w:bCs/>
          <w:sz w:val="24"/>
          <w:szCs w:val="24"/>
          <w:lang w:val="en-US"/>
        </w:rPr>
        <w:t>89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37–49. doi:10. </w:t>
      </w:r>
      <w:r w:rsidRPr="006836C5">
        <w:rPr>
          <w:rFonts w:ascii="Times New Roman" w:hAnsi="Times New Roman" w:cs="Times New Roman"/>
          <w:sz w:val="24"/>
          <w:szCs w:val="24"/>
          <w:lang w:val="en-US"/>
        </w:rPr>
        <w:t>3732/ajb.89.1.37. PMID:21669710.</w:t>
      </w: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6836C5">
        <w:rPr>
          <w:rFonts w:ascii="Times New Roman" w:hAnsi="Times New Roman" w:cs="Times New Roman"/>
          <w:sz w:val="24"/>
          <w:szCs w:val="24"/>
          <w:lang w:val="en-US"/>
        </w:rPr>
        <w:t xml:space="preserve">Garber, E.D. 1958.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The genus </w:t>
      </w:r>
      <w:r w:rsidRPr="003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Collinsia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. 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I. Distribution of pigments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in the flowers. Bot. Gaz. </w:t>
      </w:r>
      <w:r w:rsidRPr="003B4408">
        <w:rPr>
          <w:rFonts w:ascii="Times New Roman" w:hAnsi="Times New Roman" w:cs="Times New Roman"/>
          <w:b/>
          <w:bCs/>
          <w:sz w:val="24"/>
          <w:szCs w:val="24"/>
          <w:lang w:val="en-US"/>
        </w:rPr>
        <w:t>119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: 240–243.</w:t>
      </w: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B4408">
        <w:rPr>
          <w:rFonts w:ascii="Times New Roman" w:hAnsi="Times New Roman" w:cs="Times New Roman"/>
          <w:sz w:val="24"/>
          <w:szCs w:val="24"/>
          <w:lang w:val="en-US"/>
        </w:rPr>
        <w:t>Kearns, C.A., and Inouye, D.W.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993. Techniques for pollination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biologists. University Press of Colorado, Niwot, Colo.</w:t>
      </w: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B4408">
        <w:rPr>
          <w:rFonts w:ascii="Times New Roman" w:hAnsi="Times New Roman" w:cs="Times New Roman"/>
          <w:sz w:val="24"/>
          <w:szCs w:val="24"/>
          <w:lang w:val="en-US"/>
        </w:rPr>
        <w:t>Lankinen, Å., and Kiboi, S. 2007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Pollen-donor identity affects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timing of stigma receptivity in </w:t>
      </w:r>
      <w:r w:rsidRPr="003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Collinsia heterophylla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(Plantaginaceae):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a sexual conflict during pollen competition? Am.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Nat. </w:t>
      </w:r>
      <w:r w:rsidRPr="003B4408">
        <w:rPr>
          <w:rFonts w:ascii="Times New Roman" w:hAnsi="Times New Roman" w:cs="Times New Roman"/>
          <w:b/>
          <w:bCs/>
          <w:sz w:val="24"/>
          <w:szCs w:val="24"/>
          <w:lang w:val="en-US"/>
        </w:rPr>
        <w:t>170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: 854–863. doi:10.1086/522839. PMID:18171168.</w:t>
      </w: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B4408">
        <w:rPr>
          <w:rFonts w:ascii="Times New Roman" w:hAnsi="Times New Roman" w:cs="Times New Roman"/>
          <w:sz w:val="24"/>
          <w:szCs w:val="24"/>
          <w:lang w:val="en-US"/>
        </w:rPr>
        <w:t>Lankinen, Å., Armbruster, W.S.,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Antonsen, L. 2007. Delayed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stigma receptivity in </w:t>
      </w:r>
      <w:r w:rsidRPr="003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Collinsia heterophylla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(Plantaginaceae):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genetic variation and adaptive significance in relation to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ollen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competition, delayed self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-pollination, and mating-system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evolution. Am. J. Bot. </w:t>
      </w:r>
      <w:r w:rsidRPr="003B4408">
        <w:rPr>
          <w:rFonts w:ascii="Times New Roman" w:hAnsi="Times New Roman" w:cs="Times New Roman"/>
          <w:b/>
          <w:bCs/>
          <w:sz w:val="24"/>
          <w:szCs w:val="24"/>
          <w:lang w:val="en-US"/>
        </w:rPr>
        <w:t>94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: 1183–1192. doi:10.3732/ajb.94.7.1183.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PMID:21636485.</w:t>
      </w:r>
    </w:p>
    <w:p w:rsid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B4408">
        <w:rPr>
          <w:rFonts w:ascii="Times New Roman" w:hAnsi="Times New Roman" w:cs="Times New Roman"/>
          <w:sz w:val="24"/>
          <w:szCs w:val="24"/>
          <w:lang w:val="en-US"/>
        </w:rPr>
        <w:t>Madjidian, J.A., Hydbom, S., and Lankinen, Å. 2012</w:t>
      </w:r>
      <w:r w:rsidRPr="003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. Influence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of number of pollinations and pollen load size on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aternal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fitness costs in </w:t>
      </w:r>
      <w:r w:rsidRPr="003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Collinsia heterophylla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implications for existence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of a sexual conflict 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timing of stigma receptivity.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 xml:space="preserve">J. Evol. Biol. </w:t>
      </w:r>
      <w:r w:rsidRPr="003B4408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: 1623–1635. doi: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10.1111/j.1420-9101.2012.02545. </w:t>
      </w:r>
      <w:r w:rsidRPr="003B4408">
        <w:rPr>
          <w:rFonts w:ascii="Times New Roman" w:hAnsi="Times New Roman" w:cs="Times New Roman"/>
          <w:sz w:val="24"/>
          <w:szCs w:val="24"/>
          <w:lang w:val="en-US"/>
        </w:rPr>
        <w:t>x. PMID:22747851.</w:t>
      </w:r>
    </w:p>
    <w:p w:rsid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B4408" w:rsidRPr="003B4408" w:rsidRDefault="003B4408" w:rsidP="003B440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6D69E5" w:rsidRDefault="006D69E5" w:rsidP="006E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sv-SE"/>
        </w:rPr>
        <w:drawing>
          <wp:inline distT="0" distB="0" distL="0" distR="0" wp14:anchorId="42B43CEF" wp14:editId="5CA0CB13">
            <wp:extent cx="5731510" cy="4723130"/>
            <wp:effectExtent l="0" t="0" r="254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E5" w:rsidRDefault="006D69E5" w:rsidP="006E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sv-SE"/>
        </w:rPr>
        <w:drawing>
          <wp:inline distT="0" distB="0" distL="0" distR="0" wp14:anchorId="163BC93D" wp14:editId="326C6228">
            <wp:extent cx="5534025" cy="3609975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E5" w:rsidRDefault="006D69E5" w:rsidP="006E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4408" w:rsidRDefault="003B44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34112" w:rsidRPr="00D34112" w:rsidRDefault="00D34112" w:rsidP="00D3411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Data published in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: Strandh, M.,  Jönsson, J., Madidian, J.A., Hansson, B., </w:t>
      </w: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Lankinen, Å.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, 2017. Natural selection acts on floral traits associated with selfing rate among populations of mixed-mating </w:t>
      </w:r>
      <w:r w:rsidRPr="00D34112">
        <w:rPr>
          <w:rFonts w:ascii="Times New Roman" w:hAnsi="Times New Roman" w:cs="Times New Roman"/>
          <w:i/>
          <w:sz w:val="24"/>
          <w:szCs w:val="24"/>
        </w:rPr>
        <w:t>Collinsia heterophylla</w:t>
      </w:r>
      <w:r w:rsidRPr="00D34112">
        <w:rPr>
          <w:rFonts w:ascii="Times New Roman" w:hAnsi="Times New Roman" w:cs="Times New Roman"/>
          <w:sz w:val="24"/>
          <w:szCs w:val="24"/>
        </w:rPr>
        <w:t xml:space="preserve"> (Plantaginaceae).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International Journal of Plant Sciences 178: 594-606. doi: </w:t>
      </w:r>
      <w:r w:rsidRPr="00D34112">
        <w:rPr>
          <w:rFonts w:ascii="Times New Roman" w:hAnsi="Times New Roman" w:cs="Times New Roman"/>
          <w:color w:val="333333"/>
          <w:sz w:val="24"/>
          <w:szCs w:val="24"/>
          <w:lang w:val="en"/>
        </w:rPr>
        <w:t>10.1086/693464</w:t>
      </w:r>
    </w:p>
    <w:p w:rsidR="009E3373" w:rsidRDefault="009E3373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 material and study populations</w:t>
      </w: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sz w:val="24"/>
          <w:szCs w:val="24"/>
          <w:lang w:val="en-US"/>
        </w:rPr>
        <w:t>A field study of 21 Californian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populations in four geographic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sampling regions in l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ate April and early May of 2008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(Lankinen et al. 2017) provided plant material for microsatellite</w:t>
      </w: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sz w:val="24"/>
          <w:szCs w:val="24"/>
          <w:lang w:val="en-US"/>
        </w:rPr>
        <w:t>estimates and measures of envi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ronmental site characteristics.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We collected floral trait estimates in th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e greenhouse in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2011 in plants grown directly from the field-collected seeds,</w:t>
      </w: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sz w:val="24"/>
          <w:szCs w:val="24"/>
          <w:lang w:val="en-US"/>
        </w:rPr>
        <w:t>representing genetically determined fl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oral variation. To increase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sample sizes for regression analysis of mating systems on fl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oral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traits, we included additional greenhouse measu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res for four of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the populations from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Madjidian and Lankinen (2009).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The sample range of the populat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ions represents about two thirds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of the north-south range of the species. We aimed to</w:t>
      </w: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sz w:val="24"/>
          <w:szCs w:val="24"/>
          <w:lang w:val="en-US"/>
        </w:rPr>
        <w:t>sample populations that co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vered most of the environmental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variation influencing this spe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cies, but for practical reasons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 xml:space="preserve">we selected four geographic regions of </w:t>
      </w:r>
      <w:r w:rsidR="003B4408">
        <w:rPr>
          <w:rFonts w:ascii="Times New Roman" w:hAnsi="Times New Roman" w:cs="Times New Roman"/>
          <w:sz w:val="24"/>
          <w:szCs w:val="24"/>
          <w:lang w:val="en-US"/>
        </w:rPr>
        <w:t xml:space="preserve">the total study area 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(following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Lankinen et al. 2017).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Region 1 is represented by the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 xml:space="preserve">Santa Ana Mountains south of 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Los Angeles (Riverside County),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and region 2 is represented b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y the Transverse Ranges and the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Coast Ranges north of Los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Angeles (Los Angeles, Ventura,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and Santa Barbara Counties). Farther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 north, region 3 is represented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by the SierraNevadaMountains (Mariposa andMadera</w:t>
      </w:r>
    </w:p>
    <w:p w:rsidR="009E3373" w:rsidRPr="00744C5C" w:rsidRDefault="009E3373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5C">
        <w:rPr>
          <w:rFonts w:ascii="Times New Roman" w:hAnsi="Times New Roman" w:cs="Times New Roman"/>
          <w:sz w:val="24"/>
          <w:szCs w:val="24"/>
          <w:lang w:val="en-US"/>
        </w:rPr>
        <w:t xml:space="preserve">Counties), and region 4 is represented by the Coast Ranges </w:t>
      </w:r>
      <w:r w:rsidR="00744C5C">
        <w:rPr>
          <w:rFonts w:ascii="Times New Roman" w:hAnsi="Times New Roman" w:cs="Times New Roman"/>
          <w:sz w:val="24"/>
          <w:szCs w:val="24"/>
          <w:lang w:val="en-US"/>
        </w:rPr>
        <w:t xml:space="preserve">around the Bay Area (Santa </w:t>
      </w:r>
      <w:r w:rsidRPr="00744C5C">
        <w:rPr>
          <w:rFonts w:ascii="Times New Roman" w:hAnsi="Times New Roman" w:cs="Times New Roman"/>
          <w:sz w:val="24"/>
          <w:szCs w:val="24"/>
          <w:lang w:val="en-US"/>
        </w:rPr>
        <w:t>Clara, Alameda, and Napa Counties).</w:t>
      </w:r>
    </w:p>
    <w:p w:rsidR="009E3373" w:rsidRDefault="009E3373" w:rsidP="009E3373">
      <w:pPr>
        <w:autoSpaceDE w:val="0"/>
        <w:autoSpaceDN w:val="0"/>
        <w:adjustRightInd w:val="0"/>
        <w:spacing w:after="0" w:line="240" w:lineRule="auto"/>
        <w:rPr>
          <w:rFonts w:ascii="AdvTTbc475f09" w:hAnsi="AdvTTbc475f09" w:cs="AdvTTbc475f09"/>
          <w:sz w:val="18"/>
          <w:szCs w:val="18"/>
          <w:lang w:val="en-US"/>
        </w:rPr>
      </w:pPr>
    </w:p>
    <w:p w:rsidR="00635736" w:rsidRPr="00D34112" w:rsidRDefault="00635736" w:rsidP="009E3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Microsatellite Screening</w:t>
      </w:r>
    </w:p>
    <w:p w:rsidR="00635736" w:rsidRPr="00D34112" w:rsidRDefault="00635736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We used dried leaves collected from an average of 20 individuals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per population (mean 5 SD: 20.2 5 7.9; Npop p 21) for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DNA extraction using either the DNeasy Plant Mini Kit</w:t>
      </w:r>
    </w:p>
    <w:p w:rsidR="00635736" w:rsidRPr="00D34112" w:rsidRDefault="00635736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(Qiagen) or the GeneJET Plant Genomic DNA Purification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Kit (Fermentas; Thermo Fisher Scientific), in accordance with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 manufacturer’s instructions. We amplified four polymorphic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microsatellite loci (A11, A106, A116, and C1) developed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for C. sparsiflora (J. W. Wright and M. L. Stanton, Forest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Service Pacific Southwest Research Station, USDA, unpublished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data) in one multiplex polymerase chain reaction (PCR; containing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four primer pairs) per individual, as described in Hersh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et al. (2015). We analyzed the PCR products by GeneScan fragment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analysis, adding GeneScan 500 ROX size standard (Applied</w:t>
      </w:r>
    </w:p>
    <w:p w:rsidR="00635736" w:rsidRPr="00D34112" w:rsidRDefault="00635736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Biosystems) to the samples on an ABI3730XL DNA analyzer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(Applied Biosystems) at the Uppsala Genome Center,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Sweden. We used the resulting chromatograms for genotyping</w:t>
      </w:r>
    </w:p>
    <w:p w:rsidR="00D34112" w:rsidRDefault="00635736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by size determination with the Microsatellite Plugin in Geneious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software (ver. 6.1.4; Biomatters).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4112" w:rsidRDefault="00D34112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112" w:rsidRPr="00D34112" w:rsidRDefault="00635736" w:rsidP="006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Population Selfing Rates</w:t>
      </w:r>
      <w:r w:rsidR="00D34112" w:rsidRPr="00D341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35736" w:rsidRDefault="00635736" w:rsidP="00D3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We calculated selfing rate (S) as S p 2FIS/(1 1 FIS) (Jarne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and David 2008) based on estimates of the overall population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inbreeding coefficient (FIS) generated from the microsatellite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genotype data by means of the Excel plugin GENALEX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(ver. 6.5; Peakall and Smouse 2006, 2012)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B249F" w:rsidRPr="008B24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selfing rate in excel file</w:t>
      </w:r>
      <w:r w:rsidR="008B24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. We also estimated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selfing rate with RMES software because this method is insensitive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null alleles, partial dominance, and scoring errors,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which otherwise may lead to overestimation of selfing rates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(David et al. 2007). However, the RMES method is sensitive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to certain types of gametic disequilibria (David et al. 2007).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We were able to get reliable estimates for only four populations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with the RMES method. We used these data to compare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selfing rates estimated with both methods. We also evaluated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the robustness of FIS estimates of selfing rate based on an increasing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number of included genotypes (N p 2–35) for four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populations. The selfing rate estimates stabilized (SNmax 5 0.05)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at N p 7–14, showing that even with few genotypes per population</w:t>
      </w:r>
      <w:r w:rsidR="00D34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our estimates of FIS are robust.</w:t>
      </w:r>
    </w:p>
    <w:p w:rsidR="00D34112" w:rsidRDefault="00D34112" w:rsidP="00D3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112" w:rsidRPr="00D34112" w:rsidRDefault="00D34112" w:rsidP="00D3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D34112" w:rsidRPr="00D34112" w:rsidRDefault="00D34112" w:rsidP="0015511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David P, B Pujol, F Viard, V Castella, J Goudet 2007 Reliable selfi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rate estimates from imperfect 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pulation genetic data. Mol Ecol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16:2474–2487.</w:t>
      </w:r>
    </w:p>
    <w:p w:rsidR="00D34112" w:rsidRPr="00D34112" w:rsidRDefault="00D34112" w:rsidP="0015511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Hersh E, JA Madjidian, S Andersson, M Strandh, WS Armbruster, Å Lankinen 2015 Sexual antagonism in the pistil varies among populations of a hermaphroditic mixed-mating plant. J Evol Biol 28:1321–1334.</w:t>
      </w:r>
    </w:p>
    <w:p w:rsidR="00D34112" w:rsidRPr="00D34112" w:rsidRDefault="00D34112" w:rsidP="0015511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Jarne P, P David 2008 Quantifying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breeding in natural populations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of hermaphroditic organisms. Heredity 100:431–439.</w:t>
      </w:r>
    </w:p>
    <w:p w:rsidR="00744C5C" w:rsidRPr="00744C5C" w:rsidRDefault="00744C5C" w:rsidP="00744C5C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4"/>
          <w:szCs w:val="24"/>
          <w:lang w:val="en-US"/>
        </w:rPr>
      </w:pPr>
      <w:r w:rsidRPr="00744C5C">
        <w:rPr>
          <w:rFonts w:cstheme="minorHAnsi"/>
          <w:sz w:val="24"/>
          <w:szCs w:val="24"/>
          <w:lang w:val="en-US"/>
        </w:rPr>
        <w:t>Lankinen Å, JA Madjidian, S Ande</w:t>
      </w:r>
      <w:r>
        <w:rPr>
          <w:rFonts w:cstheme="minorHAnsi"/>
          <w:sz w:val="24"/>
          <w:szCs w:val="24"/>
          <w:lang w:val="en-US"/>
        </w:rPr>
        <w:t xml:space="preserve">rsson 2017 Geographic variation </w:t>
      </w:r>
      <w:r w:rsidRPr="00744C5C">
        <w:rPr>
          <w:rFonts w:cstheme="minorHAnsi"/>
          <w:sz w:val="24"/>
          <w:szCs w:val="24"/>
          <w:lang w:val="en-US"/>
        </w:rPr>
        <w:t>in floral traits is associated with environmental and genetic di</w:t>
      </w:r>
      <w:r>
        <w:rPr>
          <w:rFonts w:cstheme="minorHAnsi"/>
          <w:sz w:val="24"/>
          <w:szCs w:val="24"/>
          <w:lang w:val="en-US"/>
        </w:rPr>
        <w:t xml:space="preserve">fferences </w:t>
      </w:r>
      <w:r w:rsidRPr="00744C5C">
        <w:rPr>
          <w:rFonts w:cstheme="minorHAnsi"/>
          <w:sz w:val="24"/>
          <w:szCs w:val="24"/>
          <w:lang w:val="en-US"/>
        </w:rPr>
        <w:t xml:space="preserve">among populations of the mixed mating species </w:t>
      </w:r>
      <w:r w:rsidRPr="00744C5C">
        <w:rPr>
          <w:rFonts w:cstheme="minorHAnsi"/>
          <w:i/>
          <w:sz w:val="24"/>
          <w:szCs w:val="24"/>
          <w:lang w:val="en-US"/>
        </w:rPr>
        <w:t>Collinsia heterophylla</w:t>
      </w:r>
      <w:r w:rsidRPr="00744C5C">
        <w:rPr>
          <w:rFonts w:cstheme="minorHAnsi"/>
          <w:sz w:val="24"/>
          <w:szCs w:val="24"/>
          <w:lang w:val="en-US"/>
        </w:rPr>
        <w:t xml:space="preserve"> (Plantaginaceae). </w:t>
      </w:r>
      <w:r w:rsidRPr="006836C5">
        <w:rPr>
          <w:rFonts w:cstheme="minorHAnsi"/>
          <w:sz w:val="24"/>
          <w:szCs w:val="24"/>
          <w:lang w:val="en-US"/>
        </w:rPr>
        <w:t>Botany 95:121–138.</w:t>
      </w:r>
    </w:p>
    <w:p w:rsidR="00744C5C" w:rsidRPr="00744C5C" w:rsidRDefault="00744C5C" w:rsidP="00744C5C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4"/>
          <w:szCs w:val="24"/>
          <w:lang w:val="en-US"/>
        </w:rPr>
      </w:pPr>
      <w:r w:rsidRPr="00744C5C">
        <w:rPr>
          <w:rFonts w:cstheme="minorHAnsi"/>
          <w:sz w:val="24"/>
          <w:szCs w:val="24"/>
          <w:lang w:val="en-US"/>
        </w:rPr>
        <w:t>Madjidian JA, Å Lankinen 2009 Sexual confl</w:t>
      </w:r>
      <w:r>
        <w:rPr>
          <w:rFonts w:cstheme="minorHAnsi"/>
          <w:sz w:val="24"/>
          <w:szCs w:val="24"/>
          <w:lang w:val="en-US"/>
        </w:rPr>
        <w:t xml:space="preserve">ict and sexually antagonistic </w:t>
      </w:r>
      <w:r w:rsidRPr="00744C5C">
        <w:rPr>
          <w:rFonts w:cstheme="minorHAnsi"/>
          <w:sz w:val="24"/>
          <w:szCs w:val="24"/>
          <w:lang w:val="en-US"/>
        </w:rPr>
        <w:t>coevolution in an annual plant. PLoS One 4:e5477.</w:t>
      </w:r>
    </w:p>
    <w:p w:rsidR="00744C5C" w:rsidRPr="00D34112" w:rsidRDefault="00744C5C" w:rsidP="00744C5C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Peakall R, PE Smouse 2006 GenAlEx 6: genetic analysis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Excel.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Population genetic software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teaching and research. Mol Ecol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>6:288–295.</w:t>
      </w:r>
    </w:p>
    <w:p w:rsidR="00744C5C" w:rsidRDefault="00744C5C" w:rsidP="00744C5C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34112">
        <w:rPr>
          <w:rFonts w:ascii="Times New Roman" w:hAnsi="Times New Roman" w:cs="Times New Roman"/>
          <w:sz w:val="24"/>
          <w:szCs w:val="24"/>
          <w:lang w:val="en-US"/>
        </w:rPr>
        <w:t>——— 2012 GenAlEx 6.5: genetic analys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in Excel. Population genetic </w:t>
      </w:r>
      <w:r w:rsidRPr="00D34112">
        <w:rPr>
          <w:rFonts w:ascii="Times New Roman" w:hAnsi="Times New Roman" w:cs="Times New Roman"/>
          <w:sz w:val="24"/>
          <w:szCs w:val="24"/>
          <w:lang w:val="en-US"/>
        </w:rPr>
        <w:t xml:space="preserve">software for teaching and research—an update.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Bioinformatics </w:t>
      </w:r>
      <w:r w:rsidRPr="0015511B">
        <w:rPr>
          <w:rFonts w:ascii="Times New Roman" w:hAnsi="Times New Roman" w:cs="Times New Roman"/>
          <w:sz w:val="24"/>
          <w:szCs w:val="24"/>
          <w:lang w:val="en-US"/>
        </w:rPr>
        <w:t>28:2537–2539.</w:t>
      </w:r>
    </w:p>
    <w:p w:rsidR="00744C5C" w:rsidRPr="00744C5C" w:rsidRDefault="00744C5C" w:rsidP="00744C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744C5C" w:rsidRPr="00744C5C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BAF" w:rsidRDefault="00395BAF" w:rsidP="00B65B3A">
      <w:pPr>
        <w:spacing w:after="0" w:line="240" w:lineRule="auto"/>
      </w:pPr>
      <w:r>
        <w:separator/>
      </w:r>
    </w:p>
    <w:p w:rsidR="00395BAF" w:rsidRDefault="00395BAF"/>
  </w:endnote>
  <w:endnote w:type="continuationSeparator" w:id="0">
    <w:p w:rsidR="00395BAF" w:rsidRDefault="00395BAF" w:rsidP="00B65B3A">
      <w:pPr>
        <w:spacing w:after="0" w:line="240" w:lineRule="auto"/>
      </w:pPr>
      <w:r>
        <w:continuationSeparator/>
      </w:r>
    </w:p>
    <w:p w:rsidR="00395BAF" w:rsidRDefault="00395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bc475f0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BAF" w:rsidRDefault="00395BAF" w:rsidP="00B65B3A">
      <w:pPr>
        <w:spacing w:after="0" w:line="240" w:lineRule="auto"/>
      </w:pPr>
      <w:r>
        <w:separator/>
      </w:r>
    </w:p>
  </w:footnote>
  <w:footnote w:type="continuationSeparator" w:id="0">
    <w:p w:rsidR="00395BAF" w:rsidRDefault="00395BAF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0A" w:rsidRDefault="00CD410A" w:rsidP="00B65B3A">
    <w:pPr>
      <w:pStyle w:val="Topptekst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E5D28"/>
    <w:multiLevelType w:val="hybridMultilevel"/>
    <w:tmpl w:val="B38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63"/>
    <w:rsid w:val="00002EF2"/>
    <w:rsid w:val="00017F5C"/>
    <w:rsid w:val="0002287F"/>
    <w:rsid w:val="0003125C"/>
    <w:rsid w:val="0005173A"/>
    <w:rsid w:val="00053E90"/>
    <w:rsid w:val="000D0FE3"/>
    <w:rsid w:val="000F5E03"/>
    <w:rsid w:val="001231E4"/>
    <w:rsid w:val="001406CC"/>
    <w:rsid w:val="001414D6"/>
    <w:rsid w:val="00152C1E"/>
    <w:rsid w:val="00153304"/>
    <w:rsid w:val="0015511B"/>
    <w:rsid w:val="00196B58"/>
    <w:rsid w:val="001A1F63"/>
    <w:rsid w:val="001B155A"/>
    <w:rsid w:val="001C3335"/>
    <w:rsid w:val="001E0C17"/>
    <w:rsid w:val="002169D8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84C8B"/>
    <w:rsid w:val="00395BAF"/>
    <w:rsid w:val="003B2F68"/>
    <w:rsid w:val="003B440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35736"/>
    <w:rsid w:val="006836C5"/>
    <w:rsid w:val="00695E24"/>
    <w:rsid w:val="006C5E84"/>
    <w:rsid w:val="006C7BA1"/>
    <w:rsid w:val="006C7EEC"/>
    <w:rsid w:val="006C7EF6"/>
    <w:rsid w:val="006D1163"/>
    <w:rsid w:val="006D69E5"/>
    <w:rsid w:val="006E4110"/>
    <w:rsid w:val="006E6362"/>
    <w:rsid w:val="006F223F"/>
    <w:rsid w:val="007002D7"/>
    <w:rsid w:val="00707ACA"/>
    <w:rsid w:val="007121F4"/>
    <w:rsid w:val="007212EF"/>
    <w:rsid w:val="00744C5C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084A"/>
    <w:rsid w:val="00862510"/>
    <w:rsid w:val="00864EFB"/>
    <w:rsid w:val="00890B5B"/>
    <w:rsid w:val="008B249F"/>
    <w:rsid w:val="008B35B5"/>
    <w:rsid w:val="008C7FA3"/>
    <w:rsid w:val="008E2971"/>
    <w:rsid w:val="008E2C57"/>
    <w:rsid w:val="008E724E"/>
    <w:rsid w:val="008F24D9"/>
    <w:rsid w:val="009109E8"/>
    <w:rsid w:val="009662BC"/>
    <w:rsid w:val="009E3373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34112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F05B25"/>
    <w:rsid w:val="00F171CE"/>
    <w:rsid w:val="00F240C5"/>
    <w:rsid w:val="00F31BEE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902979-9B40-425C-9BDC-118D2F7D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4A"/>
    <w:pPr>
      <w:spacing w:after="160" w:line="259" w:lineRule="auto"/>
    </w:pPr>
    <w:rPr>
      <w:rFonts w:asciiTheme="minorHAnsi" w:hAnsiTheme="minorHAnsi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36C5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836C5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6836C5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rsid w:val="006836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kriftforavsnitt">
    <w:name w:val="Default Paragraph Font"/>
    <w:uiPriority w:val="1"/>
    <w:semiHidden/>
    <w:unhideWhenUsed/>
    <w:rsid w:val="0086084A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86084A"/>
  </w:style>
  <w:style w:type="character" w:customStyle="1" w:styleId="Overskrift1Tegn">
    <w:name w:val="Overskrift 1 Tegn"/>
    <w:basedOn w:val="Standardskriftforavsnitt"/>
    <w:link w:val="Overskrift1"/>
    <w:uiPriority w:val="9"/>
    <w:rsid w:val="006836C5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36C5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836C5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tel">
    <w:name w:val="Title"/>
    <w:aliases w:val="Titel/Dokumentnamn"/>
    <w:basedOn w:val="Normal"/>
    <w:next w:val="Normal"/>
    <w:link w:val="TittelTegn"/>
    <w:uiPriority w:val="99"/>
    <w:rsid w:val="006836C5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telTegn">
    <w:name w:val="Tittel Tegn"/>
    <w:aliases w:val="Titel/Dokumentnamn Tegn"/>
    <w:basedOn w:val="Standardskriftforavsnitt"/>
    <w:link w:val="Tittel"/>
    <w:uiPriority w:val="99"/>
    <w:rsid w:val="006836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Topptekst">
    <w:name w:val="header"/>
    <w:basedOn w:val="Normal"/>
    <w:link w:val="TopptekstTegn"/>
    <w:uiPriority w:val="99"/>
    <w:semiHidden/>
    <w:rsid w:val="006836C5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6836C5"/>
    <w:rPr>
      <w:rFonts w:asciiTheme="majorHAnsi" w:hAnsiTheme="majorHAnsi"/>
      <w:sz w:val="14"/>
    </w:rPr>
  </w:style>
  <w:style w:type="paragraph" w:styleId="Bunntekst">
    <w:name w:val="footer"/>
    <w:basedOn w:val="Topptekst"/>
    <w:link w:val="BunntekstTegn"/>
    <w:uiPriority w:val="99"/>
    <w:rsid w:val="006836C5"/>
    <w:pPr>
      <w:tabs>
        <w:tab w:val="clear" w:pos="3686"/>
        <w:tab w:val="left" w:pos="4111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836C5"/>
    <w:rPr>
      <w:rFonts w:asciiTheme="majorHAnsi" w:hAnsiTheme="majorHAnsi"/>
      <w:sz w:val="14"/>
      <w:lang w:val="en-GB"/>
    </w:rPr>
  </w:style>
  <w:style w:type="character" w:styleId="Plassholdertekst">
    <w:name w:val="Placeholder Text"/>
    <w:basedOn w:val="Standardskriftforavsnitt"/>
    <w:uiPriority w:val="99"/>
    <w:semiHidden/>
    <w:rsid w:val="006836C5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8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36C5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683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Topptekst"/>
    <w:uiPriority w:val="99"/>
    <w:semiHidden/>
    <w:rsid w:val="006836C5"/>
    <w:pPr>
      <w:tabs>
        <w:tab w:val="clear" w:pos="9072"/>
        <w:tab w:val="right" w:pos="8789"/>
      </w:tabs>
    </w:pPr>
  </w:style>
  <w:style w:type="character" w:styleId="Hyperkobling">
    <w:name w:val="Hyperlink"/>
    <w:basedOn w:val="Standardskriftforavsnitt"/>
    <w:uiPriority w:val="99"/>
    <w:semiHidden/>
    <w:qFormat/>
    <w:rsid w:val="006836C5"/>
    <w:rPr>
      <w:color w:val="0000FF"/>
      <w:u w:val="single"/>
    </w:rPr>
  </w:style>
  <w:style w:type="paragraph" w:styleId="Overskriftforinnholdsfortegnelse">
    <w:name w:val="TOC Heading"/>
    <w:basedOn w:val="Overskrift1"/>
    <w:next w:val="Normal"/>
    <w:uiPriority w:val="39"/>
    <w:semiHidden/>
    <w:rsid w:val="006836C5"/>
    <w:pPr>
      <w:pageBreakBefore/>
      <w:suppressAutoHyphens w:val="0"/>
      <w:outlineLvl w:val="9"/>
    </w:pPr>
    <w:rPr>
      <w:lang w:val="en-US" w:eastAsia="ja-JP"/>
    </w:rPr>
  </w:style>
  <w:style w:type="paragraph" w:styleId="Sitat">
    <w:name w:val="Quote"/>
    <w:basedOn w:val="Normal"/>
    <w:link w:val="SitatTegn"/>
    <w:uiPriority w:val="10"/>
    <w:qFormat/>
    <w:rsid w:val="006836C5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SitatTegn">
    <w:name w:val="Sitat Tegn"/>
    <w:basedOn w:val="Standardskriftforavsnitt"/>
    <w:link w:val="Sitat"/>
    <w:uiPriority w:val="10"/>
    <w:rsid w:val="006836C5"/>
    <w:rPr>
      <w:rFonts w:asciiTheme="minorHAnsi" w:hAnsiTheme="minorHAnsi"/>
      <w:iCs/>
      <w:color w:val="000000" w:themeColor="text1"/>
      <w:sz w:val="20"/>
    </w:rPr>
  </w:style>
  <w:style w:type="paragraph" w:styleId="INNH1">
    <w:name w:val="toc 1"/>
    <w:basedOn w:val="Normal"/>
    <w:next w:val="Normal"/>
    <w:uiPriority w:val="39"/>
    <w:semiHidden/>
    <w:rsid w:val="006836C5"/>
    <w:pPr>
      <w:spacing w:beforeLines="100" w:before="100" w:after="0"/>
    </w:pPr>
  </w:style>
  <w:style w:type="paragraph" w:styleId="INNH2">
    <w:name w:val="toc 2"/>
    <w:basedOn w:val="Normal"/>
    <w:next w:val="Normal"/>
    <w:uiPriority w:val="99"/>
    <w:semiHidden/>
    <w:rsid w:val="006836C5"/>
    <w:pPr>
      <w:spacing w:after="0"/>
      <w:ind w:left="276"/>
    </w:pPr>
  </w:style>
  <w:style w:type="paragraph" w:styleId="INNH3">
    <w:name w:val="toc 3"/>
    <w:basedOn w:val="Normal"/>
    <w:next w:val="Normal"/>
    <w:uiPriority w:val="99"/>
    <w:semiHidden/>
    <w:rsid w:val="006836C5"/>
    <w:pPr>
      <w:spacing w:after="0"/>
      <w:ind w:left="552"/>
    </w:pPr>
  </w:style>
  <w:style w:type="character" w:styleId="Utheving">
    <w:name w:val="Emphasis"/>
    <w:basedOn w:val="Standardskriftforavsnitt"/>
    <w:uiPriority w:val="1"/>
    <w:rsid w:val="006836C5"/>
    <w:rPr>
      <w:i/>
      <w:iCs/>
    </w:rPr>
  </w:style>
  <w:style w:type="paragraph" w:styleId="INNH4">
    <w:name w:val="toc 4"/>
    <w:basedOn w:val="Normal"/>
    <w:next w:val="Normal"/>
    <w:uiPriority w:val="99"/>
    <w:semiHidden/>
    <w:rsid w:val="006836C5"/>
    <w:pPr>
      <w:spacing w:after="100"/>
      <w:ind w:left="660"/>
    </w:pPr>
  </w:style>
  <w:style w:type="paragraph" w:styleId="INNH5">
    <w:name w:val="toc 5"/>
    <w:basedOn w:val="Normal"/>
    <w:next w:val="Normal"/>
    <w:uiPriority w:val="99"/>
    <w:semiHidden/>
    <w:rsid w:val="006836C5"/>
    <w:pPr>
      <w:spacing w:after="100"/>
      <w:ind w:left="880"/>
    </w:pPr>
  </w:style>
  <w:style w:type="paragraph" w:styleId="INNH6">
    <w:name w:val="toc 6"/>
    <w:basedOn w:val="Normal"/>
    <w:next w:val="Normal"/>
    <w:uiPriority w:val="99"/>
    <w:semiHidden/>
    <w:rsid w:val="006836C5"/>
    <w:pPr>
      <w:spacing w:after="100"/>
      <w:ind w:left="1100"/>
    </w:pPr>
  </w:style>
  <w:style w:type="paragraph" w:styleId="INNH7">
    <w:name w:val="toc 7"/>
    <w:basedOn w:val="Normal"/>
    <w:next w:val="Normal"/>
    <w:uiPriority w:val="99"/>
    <w:semiHidden/>
    <w:rsid w:val="006836C5"/>
    <w:pPr>
      <w:spacing w:after="100"/>
      <w:ind w:left="1320"/>
    </w:pPr>
  </w:style>
  <w:style w:type="paragraph" w:styleId="INNH8">
    <w:name w:val="toc 8"/>
    <w:basedOn w:val="Normal"/>
    <w:next w:val="Normal"/>
    <w:uiPriority w:val="99"/>
    <w:semiHidden/>
    <w:rsid w:val="006836C5"/>
    <w:pPr>
      <w:spacing w:after="100"/>
      <w:ind w:left="1540"/>
    </w:pPr>
  </w:style>
  <w:style w:type="paragraph" w:styleId="INNH9">
    <w:name w:val="toc 9"/>
    <w:basedOn w:val="Normal"/>
    <w:next w:val="Normal"/>
    <w:uiPriority w:val="99"/>
    <w:semiHidden/>
    <w:rsid w:val="006836C5"/>
    <w:pPr>
      <w:spacing w:after="100"/>
      <w:ind w:left="1760"/>
    </w:pPr>
  </w:style>
  <w:style w:type="table" w:customStyle="1" w:styleId="Trelinjerstabell">
    <w:name w:val="Trelinjerstabell"/>
    <w:basedOn w:val="Vanligtabell"/>
    <w:uiPriority w:val="99"/>
    <w:rsid w:val="006836C5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skyggelegging">
    <w:name w:val="Light Shading"/>
    <w:basedOn w:val="Trelinjerstabell"/>
    <w:uiPriority w:val="60"/>
    <w:rsid w:val="006836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2">
    <w:name w:val="Light Shading Accent 2"/>
    <w:basedOn w:val="Trelinjerstabell"/>
    <w:uiPriority w:val="60"/>
    <w:rsid w:val="006836C5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ysskyggelegginguthevingsfarge1">
    <w:name w:val="Light Shading Accent 1"/>
    <w:basedOn w:val="Trelinjerstabell"/>
    <w:uiPriority w:val="60"/>
    <w:rsid w:val="006836C5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ysskyggelegginguthevingsfarge3">
    <w:name w:val="Light Shading Accent 3"/>
    <w:basedOn w:val="Trelinjerstabell"/>
    <w:uiPriority w:val="60"/>
    <w:rsid w:val="006836C5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ysskyggelegginguthevingsfarge4">
    <w:name w:val="Light Shading Accent 4"/>
    <w:basedOn w:val="Trelinjerstabell"/>
    <w:uiPriority w:val="60"/>
    <w:rsid w:val="006836C5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ysskyggelegginguthevingsfarge5">
    <w:name w:val="Light Shading Accent 5"/>
    <w:basedOn w:val="Trelinjerstabell"/>
    <w:uiPriority w:val="60"/>
    <w:rsid w:val="006836C5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ysskyggelegginguthevingsfarge6">
    <w:name w:val="Light Shading Accent 6"/>
    <w:basedOn w:val="Trelinjerstabell"/>
    <w:uiPriority w:val="60"/>
    <w:rsid w:val="006836C5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ysliste">
    <w:name w:val="Light List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yslisteuthevingsfarge2">
    <w:name w:val="Light List Accent 2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yslisteuthevingsfarge3">
    <w:name w:val="Light List Accent 3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yslisteuthevingsfarge4">
    <w:name w:val="Light List Accent 4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yslisteuthevingsfarge5">
    <w:name w:val="Light List Accent 5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yslisteuthevingsfarge6">
    <w:name w:val="Light List Accent 6"/>
    <w:basedOn w:val="Trelinjerstabell"/>
    <w:uiPriority w:val="61"/>
    <w:rsid w:val="006836C5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836C5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6836C5"/>
    <w:pPr>
      <w:ind w:right="4111"/>
    </w:pPr>
  </w:style>
  <w:style w:type="character" w:styleId="Sterk">
    <w:name w:val="Strong"/>
    <w:basedOn w:val="Standardskriftforavsnitt"/>
    <w:uiPriority w:val="1"/>
    <w:rsid w:val="006836C5"/>
    <w:rPr>
      <w:b/>
      <w:bCs/>
    </w:rPr>
  </w:style>
  <w:style w:type="table" w:customStyle="1" w:styleId="Sidfottabell">
    <w:name w:val="Sidfot tabell"/>
    <w:basedOn w:val="Vanligtabell"/>
    <w:uiPriority w:val="99"/>
    <w:rsid w:val="006836C5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etekst">
    <w:name w:val="footnote text"/>
    <w:basedOn w:val="Normal"/>
    <w:link w:val="FotnotetekstTegn"/>
    <w:uiPriority w:val="99"/>
    <w:semiHidden/>
    <w:unhideWhenUsed/>
    <w:rsid w:val="006836C5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6836C5"/>
    <w:rPr>
      <w:rFonts w:asciiTheme="minorHAnsi" w:hAnsiTheme="minorHAnsi"/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6836C5"/>
    <w:rPr>
      <w:vertAlign w:val="superscript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836C5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kriftforavsnitt"/>
    <w:uiPriority w:val="1"/>
    <w:rsid w:val="006836C5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kriftforavsnitt"/>
    <w:uiPriority w:val="1"/>
    <w:rsid w:val="006836C5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kriftforavsnitt"/>
    <w:uiPriority w:val="1"/>
    <w:rsid w:val="006836C5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836C5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kriftforavsnitt"/>
    <w:link w:val="TillfalligText"/>
    <w:rsid w:val="006836C5"/>
    <w:rPr>
      <w:rFonts w:asciiTheme="minorHAnsi" w:hAnsiTheme="minorHAnsi" w:cstheme="minorHAnsi"/>
      <w:bdr w:val="single" w:sz="4" w:space="0" w:color="auto"/>
    </w:rPr>
  </w:style>
  <w:style w:type="paragraph" w:styleId="Punktliste">
    <w:name w:val="List Bullet"/>
    <w:basedOn w:val="Normal"/>
    <w:uiPriority w:val="99"/>
    <w:qFormat/>
    <w:rsid w:val="006836C5"/>
    <w:pPr>
      <w:numPr>
        <w:numId w:val="4"/>
      </w:numPr>
      <w:contextualSpacing/>
    </w:pPr>
  </w:style>
  <w:style w:type="paragraph" w:styleId="Nummerertliste">
    <w:name w:val="List Number"/>
    <w:basedOn w:val="Normal"/>
    <w:uiPriority w:val="99"/>
    <w:qFormat/>
    <w:rsid w:val="006836C5"/>
    <w:pPr>
      <w:numPr>
        <w:numId w:val="3"/>
      </w:numPr>
      <w:contextualSpacing/>
    </w:pPr>
  </w:style>
  <w:style w:type="paragraph" w:styleId="Listeavsnitt">
    <w:name w:val="List Paragraph"/>
    <w:basedOn w:val="Normal"/>
    <w:uiPriority w:val="34"/>
    <w:qFormat/>
    <w:rsid w:val="00D3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82D507E-0977-4FA0-A137-3E7697B7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2787</Words>
  <Characters>14777</Characters>
  <Application>Microsoft Office Word</Application>
  <DocSecurity>0</DocSecurity>
  <Lines>123</Lines>
  <Paragraphs>35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Lankinen</dc:creator>
  <cp:keywords/>
  <dc:description/>
  <cp:lastModifiedBy>Øystein Opedal</cp:lastModifiedBy>
  <cp:revision>2</cp:revision>
  <cp:lastPrinted>2012-03-26T17:07:00Z</cp:lastPrinted>
  <dcterms:created xsi:type="dcterms:W3CDTF">2019-07-06T07:39:00Z</dcterms:created>
  <dcterms:modified xsi:type="dcterms:W3CDTF">2019-07-06T07:39:00Z</dcterms:modified>
</cp:coreProperties>
</file>